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44FE8215" w14:textId="77777777" w:rsidR="005D5BFA" w:rsidRDefault="006D42E6" w:rsidP="006D42E6">
      <w:pPr>
        <w:pStyle w:val="Ondertitel"/>
        <w:spacing w:line="240" w:lineRule="auto"/>
        <w:jc w:val="center"/>
        <w:rPr>
          <w:rFonts w:eastAsiaTheme="majorEastAsia" w:cstheme="majorBidi"/>
          <w:color w:val="auto"/>
          <w:spacing w:val="-10"/>
          <w:kern w:val="28"/>
          <w:sz w:val="56"/>
          <w:szCs w:val="56"/>
          <w:lang w:val="en-US"/>
        </w:rPr>
      </w:pPr>
      <w:r w:rsidRPr="00C33C74">
        <w:rPr>
          <w:rFonts w:eastAsiaTheme="majorEastAsia" w:cstheme="majorBidi"/>
          <w:color w:val="auto"/>
          <w:spacing w:val="-10"/>
          <w:kern w:val="28"/>
          <w:sz w:val="56"/>
          <w:szCs w:val="56"/>
          <w:lang w:val="en-US"/>
        </w:rPr>
        <w:t xml:space="preserve">Beschrijving </w:t>
      </w:r>
      <w:r w:rsidR="00A66E28" w:rsidRPr="00C33C74">
        <w:rPr>
          <w:rFonts w:eastAsiaTheme="majorEastAsia" w:cstheme="majorBidi"/>
          <w:color w:val="auto"/>
          <w:spacing w:val="-10"/>
          <w:kern w:val="28"/>
          <w:sz w:val="56"/>
          <w:szCs w:val="56"/>
          <w:lang w:val="en-US"/>
        </w:rPr>
        <w:t xml:space="preserve">fasttrack </w:t>
      </w:r>
      <w:r w:rsidRPr="00C33C74">
        <w:rPr>
          <w:rFonts w:eastAsiaTheme="majorEastAsia" w:cstheme="majorBidi"/>
          <w:color w:val="auto"/>
          <w:spacing w:val="-10"/>
          <w:kern w:val="28"/>
          <w:sz w:val="56"/>
          <w:szCs w:val="56"/>
          <w:lang w:val="en-US"/>
        </w:rPr>
        <w:t>release</w:t>
      </w:r>
    </w:p>
    <w:p w14:paraId="7F1E1B30" w14:textId="61906B81" w:rsidR="006D42E6" w:rsidRPr="00C33C7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C33C74">
        <w:rPr>
          <w:rFonts w:eastAsiaTheme="majorEastAsia" w:cstheme="majorBidi"/>
          <w:color w:val="auto"/>
          <w:spacing w:val="-10"/>
          <w:kern w:val="28"/>
          <w:sz w:val="56"/>
          <w:szCs w:val="56"/>
          <w:lang w:val="en-US"/>
        </w:rPr>
        <w:t>‘</w:t>
      </w:r>
      <w:r w:rsidR="00C33C74" w:rsidRPr="001B5EA2">
        <w:rPr>
          <w:rFonts w:eastAsiaTheme="majorEastAsia" w:cstheme="majorBidi"/>
          <w:color w:val="auto"/>
          <w:spacing w:val="-10"/>
          <w:kern w:val="28"/>
          <w:sz w:val="56"/>
          <w:szCs w:val="56"/>
          <w:lang w:val="en-US"/>
        </w:rPr>
        <w:t>Tallinn</w:t>
      </w:r>
      <w:r w:rsidR="00637CFE" w:rsidRPr="00C33C74">
        <w:rPr>
          <w:rFonts w:eastAsiaTheme="majorEastAsia" w:cstheme="majorBidi"/>
          <w:color w:val="auto"/>
          <w:spacing w:val="-10"/>
          <w:kern w:val="28"/>
          <w:sz w:val="56"/>
          <w:szCs w:val="56"/>
          <w:lang w:val="en-US"/>
        </w:rPr>
        <w:t>’</w:t>
      </w:r>
    </w:p>
    <w:p w14:paraId="09DFD25F" w14:textId="7072735D" w:rsidR="006D42E6" w:rsidRPr="00C33C7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C33C7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10206BA" w:rsidR="00EC4B83" w:rsidRPr="004F33C8" w:rsidRDefault="001B5EA2" w:rsidP="00EC4B83">
            <w:r>
              <w:t>23 november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9ED76E7" w14:textId="06FB5906" w:rsidR="005E4B4D"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9591144" w:history="1">
        <w:r w:rsidR="005E4B4D" w:rsidRPr="00FD2F10">
          <w:rPr>
            <w:rStyle w:val="Hyperlink"/>
          </w:rPr>
          <w:t>1</w:t>
        </w:r>
        <w:r w:rsidR="005E4B4D">
          <w:rPr>
            <w:rFonts w:asciiTheme="minorHAnsi" w:eastAsiaTheme="minorEastAsia" w:hAnsiTheme="minorHAnsi" w:cstheme="minorBidi"/>
            <w:bCs w:val="0"/>
            <w:iCs w:val="0"/>
            <w:caps w:val="0"/>
            <w:sz w:val="22"/>
            <w:szCs w:val="22"/>
            <w:lang w:eastAsia="nl-NL"/>
          </w:rPr>
          <w:tab/>
        </w:r>
        <w:r w:rsidR="005E4B4D" w:rsidRPr="00FD2F10">
          <w:rPr>
            <w:rStyle w:val="Hyperlink"/>
          </w:rPr>
          <w:t>Algemeen</w:t>
        </w:r>
        <w:r w:rsidR="005E4B4D">
          <w:rPr>
            <w:webHidden/>
          </w:rPr>
          <w:tab/>
        </w:r>
        <w:r w:rsidR="005E4B4D">
          <w:rPr>
            <w:webHidden/>
          </w:rPr>
          <w:fldChar w:fldCharType="begin"/>
        </w:r>
        <w:r w:rsidR="005E4B4D">
          <w:rPr>
            <w:webHidden/>
          </w:rPr>
          <w:instrText xml:space="preserve"> PAGEREF _Toc119591144 \h </w:instrText>
        </w:r>
        <w:r w:rsidR="005E4B4D">
          <w:rPr>
            <w:webHidden/>
          </w:rPr>
        </w:r>
        <w:r w:rsidR="005E4B4D">
          <w:rPr>
            <w:webHidden/>
          </w:rPr>
          <w:fldChar w:fldCharType="separate"/>
        </w:r>
        <w:r w:rsidR="002030F0">
          <w:rPr>
            <w:webHidden/>
          </w:rPr>
          <w:t>3</w:t>
        </w:r>
        <w:r w:rsidR="005E4B4D">
          <w:rPr>
            <w:webHidden/>
          </w:rPr>
          <w:fldChar w:fldCharType="end"/>
        </w:r>
      </w:hyperlink>
    </w:p>
    <w:p w14:paraId="25F77B99" w14:textId="6F70B518" w:rsidR="005E4B4D" w:rsidRDefault="00000000">
      <w:pPr>
        <w:pStyle w:val="Inhopg1"/>
        <w:rPr>
          <w:rFonts w:asciiTheme="minorHAnsi" w:eastAsiaTheme="minorEastAsia" w:hAnsiTheme="minorHAnsi" w:cstheme="minorBidi"/>
          <w:bCs w:val="0"/>
          <w:iCs w:val="0"/>
          <w:caps w:val="0"/>
          <w:sz w:val="22"/>
          <w:szCs w:val="22"/>
          <w:lang w:eastAsia="nl-NL"/>
        </w:rPr>
      </w:pPr>
      <w:hyperlink w:anchor="_Toc119591145" w:history="1">
        <w:r w:rsidR="005E4B4D" w:rsidRPr="00FD2F10">
          <w:rPr>
            <w:rStyle w:val="Hyperlink"/>
          </w:rPr>
          <w:t>2</w:t>
        </w:r>
        <w:r w:rsidR="005E4B4D">
          <w:rPr>
            <w:rFonts w:asciiTheme="minorHAnsi" w:eastAsiaTheme="minorEastAsia" w:hAnsiTheme="minorHAnsi" w:cstheme="minorBidi"/>
            <w:bCs w:val="0"/>
            <w:iCs w:val="0"/>
            <w:caps w:val="0"/>
            <w:sz w:val="22"/>
            <w:szCs w:val="22"/>
            <w:lang w:eastAsia="nl-NL"/>
          </w:rPr>
          <w:tab/>
        </w:r>
        <w:r w:rsidR="005E4B4D" w:rsidRPr="00FD2F10">
          <w:rPr>
            <w:rStyle w:val="Hyperlink"/>
          </w:rPr>
          <w:t>Basis Xpert Suite</w:t>
        </w:r>
        <w:r w:rsidR="005E4B4D">
          <w:rPr>
            <w:webHidden/>
          </w:rPr>
          <w:tab/>
        </w:r>
        <w:r w:rsidR="005E4B4D">
          <w:rPr>
            <w:webHidden/>
          </w:rPr>
          <w:fldChar w:fldCharType="begin"/>
        </w:r>
        <w:r w:rsidR="005E4B4D">
          <w:rPr>
            <w:webHidden/>
          </w:rPr>
          <w:instrText xml:space="preserve"> PAGEREF _Toc119591145 \h </w:instrText>
        </w:r>
        <w:r w:rsidR="005E4B4D">
          <w:rPr>
            <w:webHidden/>
          </w:rPr>
        </w:r>
        <w:r w:rsidR="005E4B4D">
          <w:rPr>
            <w:webHidden/>
          </w:rPr>
          <w:fldChar w:fldCharType="separate"/>
        </w:r>
        <w:r w:rsidR="002030F0">
          <w:rPr>
            <w:webHidden/>
          </w:rPr>
          <w:t>3</w:t>
        </w:r>
        <w:r w:rsidR="005E4B4D">
          <w:rPr>
            <w:webHidden/>
          </w:rPr>
          <w:fldChar w:fldCharType="end"/>
        </w:r>
      </w:hyperlink>
    </w:p>
    <w:p w14:paraId="224D63D7" w14:textId="26458BBA" w:rsidR="005E4B4D" w:rsidRDefault="00000000">
      <w:pPr>
        <w:pStyle w:val="Inhopg2"/>
        <w:rPr>
          <w:rFonts w:asciiTheme="minorHAnsi" w:eastAsiaTheme="minorEastAsia" w:hAnsiTheme="minorHAnsi" w:cstheme="minorBidi"/>
          <w:noProof/>
          <w:sz w:val="22"/>
          <w:szCs w:val="22"/>
          <w:lang w:eastAsia="nl-NL"/>
        </w:rPr>
      </w:pPr>
      <w:hyperlink w:anchor="_Toc119591146" w:history="1">
        <w:r w:rsidR="005E4B4D" w:rsidRPr="00FD2F10">
          <w:rPr>
            <w:rStyle w:val="Hyperlink"/>
            <w:noProof/>
            <w:lang w:eastAsia="nl-NL"/>
            <w14:scene3d>
              <w14:camera w14:prst="orthographicFront"/>
              <w14:lightRig w14:rig="threePt" w14:dir="t">
                <w14:rot w14:lat="0" w14:lon="0" w14:rev="0"/>
              </w14:lightRig>
            </w14:scene3d>
          </w:rPr>
          <w:t>2.1</w:t>
        </w:r>
        <w:r w:rsidR="005E4B4D">
          <w:rPr>
            <w:rFonts w:asciiTheme="minorHAnsi" w:eastAsiaTheme="minorEastAsia" w:hAnsiTheme="minorHAnsi" w:cstheme="minorBidi"/>
            <w:noProof/>
            <w:sz w:val="22"/>
            <w:szCs w:val="22"/>
            <w:lang w:eastAsia="nl-NL"/>
          </w:rPr>
          <w:tab/>
        </w:r>
        <w:r w:rsidR="005E4B4D" w:rsidRPr="00FD2F10">
          <w:rPr>
            <w:rStyle w:val="Hyperlink"/>
            <w:noProof/>
            <w:lang w:eastAsia="nl-NL"/>
          </w:rPr>
          <w:t>XS Beheer</w:t>
        </w:r>
        <w:r w:rsidR="005E4B4D">
          <w:rPr>
            <w:noProof/>
            <w:webHidden/>
          </w:rPr>
          <w:tab/>
        </w:r>
        <w:r w:rsidR="005E4B4D">
          <w:rPr>
            <w:noProof/>
            <w:webHidden/>
          </w:rPr>
          <w:fldChar w:fldCharType="begin"/>
        </w:r>
        <w:r w:rsidR="005E4B4D">
          <w:rPr>
            <w:noProof/>
            <w:webHidden/>
          </w:rPr>
          <w:instrText xml:space="preserve"> PAGEREF _Toc119591146 \h </w:instrText>
        </w:r>
        <w:r w:rsidR="005E4B4D">
          <w:rPr>
            <w:noProof/>
            <w:webHidden/>
          </w:rPr>
        </w:r>
        <w:r w:rsidR="005E4B4D">
          <w:rPr>
            <w:noProof/>
            <w:webHidden/>
          </w:rPr>
          <w:fldChar w:fldCharType="separate"/>
        </w:r>
        <w:r w:rsidR="002030F0">
          <w:rPr>
            <w:noProof/>
            <w:webHidden/>
          </w:rPr>
          <w:t>3</w:t>
        </w:r>
        <w:r w:rsidR="005E4B4D">
          <w:rPr>
            <w:noProof/>
            <w:webHidden/>
          </w:rPr>
          <w:fldChar w:fldCharType="end"/>
        </w:r>
      </w:hyperlink>
    </w:p>
    <w:p w14:paraId="0DFBFEFB" w14:textId="18E83BBF"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47" w:history="1">
        <w:r w:rsidR="005E4B4D" w:rsidRPr="00FD2F10">
          <w:rPr>
            <w:rStyle w:val="Hyperlink"/>
            <w:lang w:eastAsia="nl-NL"/>
          </w:rPr>
          <w:t>2.1.1</w:t>
        </w:r>
        <w:r w:rsidR="005E4B4D">
          <w:rPr>
            <w:rFonts w:asciiTheme="minorHAnsi" w:eastAsiaTheme="minorEastAsia" w:hAnsiTheme="minorHAnsi" w:cstheme="minorBidi"/>
            <w:iCs w:val="0"/>
            <w:sz w:val="22"/>
            <w:szCs w:val="22"/>
            <w:lang w:eastAsia="nl-NL"/>
          </w:rPr>
          <w:tab/>
        </w:r>
        <w:r w:rsidR="005E4B4D" w:rsidRPr="00FD2F10">
          <w:rPr>
            <w:rStyle w:val="Hyperlink"/>
            <w:lang w:eastAsia="nl-NL"/>
          </w:rPr>
          <w:t>Documentvoorwaarden beheerbaar in trigger beheer</w:t>
        </w:r>
        <w:r w:rsidR="005E4B4D">
          <w:rPr>
            <w:webHidden/>
          </w:rPr>
          <w:tab/>
        </w:r>
        <w:r w:rsidR="005E4B4D">
          <w:rPr>
            <w:webHidden/>
          </w:rPr>
          <w:fldChar w:fldCharType="begin"/>
        </w:r>
        <w:r w:rsidR="005E4B4D">
          <w:rPr>
            <w:webHidden/>
          </w:rPr>
          <w:instrText xml:space="preserve"> PAGEREF _Toc119591147 \h </w:instrText>
        </w:r>
        <w:r w:rsidR="005E4B4D">
          <w:rPr>
            <w:webHidden/>
          </w:rPr>
        </w:r>
        <w:r w:rsidR="005E4B4D">
          <w:rPr>
            <w:webHidden/>
          </w:rPr>
          <w:fldChar w:fldCharType="separate"/>
        </w:r>
        <w:r w:rsidR="002030F0">
          <w:rPr>
            <w:webHidden/>
          </w:rPr>
          <w:t>3</w:t>
        </w:r>
        <w:r w:rsidR="005E4B4D">
          <w:rPr>
            <w:webHidden/>
          </w:rPr>
          <w:fldChar w:fldCharType="end"/>
        </w:r>
      </w:hyperlink>
    </w:p>
    <w:p w14:paraId="1771AECA" w14:textId="26C2B919"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48" w:history="1">
        <w:r w:rsidR="005E4B4D" w:rsidRPr="00FD2F10">
          <w:rPr>
            <w:rStyle w:val="Hyperlink"/>
          </w:rPr>
          <w:t>2.1.2</w:t>
        </w:r>
        <w:r w:rsidR="005E4B4D">
          <w:rPr>
            <w:rFonts w:asciiTheme="minorHAnsi" w:eastAsiaTheme="minorEastAsia" w:hAnsiTheme="minorHAnsi" w:cstheme="minorBidi"/>
            <w:iCs w:val="0"/>
            <w:sz w:val="22"/>
            <w:szCs w:val="22"/>
            <w:lang w:eastAsia="nl-NL"/>
          </w:rPr>
          <w:tab/>
        </w:r>
        <w:r w:rsidR="005E4B4D" w:rsidRPr="00FD2F10">
          <w:rPr>
            <w:rStyle w:val="Hyperlink"/>
          </w:rPr>
          <w:t>DocumentIds zichtbaar in documentsjablonen beheer</w:t>
        </w:r>
        <w:r w:rsidR="005E4B4D">
          <w:rPr>
            <w:webHidden/>
          </w:rPr>
          <w:tab/>
        </w:r>
        <w:r w:rsidR="005E4B4D">
          <w:rPr>
            <w:webHidden/>
          </w:rPr>
          <w:fldChar w:fldCharType="begin"/>
        </w:r>
        <w:r w:rsidR="005E4B4D">
          <w:rPr>
            <w:webHidden/>
          </w:rPr>
          <w:instrText xml:space="preserve"> PAGEREF _Toc119591148 \h </w:instrText>
        </w:r>
        <w:r w:rsidR="005E4B4D">
          <w:rPr>
            <w:webHidden/>
          </w:rPr>
        </w:r>
        <w:r w:rsidR="005E4B4D">
          <w:rPr>
            <w:webHidden/>
          </w:rPr>
          <w:fldChar w:fldCharType="separate"/>
        </w:r>
        <w:r w:rsidR="002030F0">
          <w:rPr>
            <w:webHidden/>
          </w:rPr>
          <w:t>4</w:t>
        </w:r>
        <w:r w:rsidR="005E4B4D">
          <w:rPr>
            <w:webHidden/>
          </w:rPr>
          <w:fldChar w:fldCharType="end"/>
        </w:r>
      </w:hyperlink>
    </w:p>
    <w:p w14:paraId="7F4B396B" w14:textId="1EBE4E3A"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49" w:history="1">
        <w:r w:rsidR="005E4B4D" w:rsidRPr="00FD2F10">
          <w:rPr>
            <w:rStyle w:val="Hyperlink"/>
          </w:rPr>
          <w:t>2.1.3</w:t>
        </w:r>
        <w:r w:rsidR="005E4B4D">
          <w:rPr>
            <w:rFonts w:asciiTheme="minorHAnsi" w:eastAsiaTheme="minorEastAsia" w:hAnsiTheme="minorHAnsi" w:cstheme="minorBidi"/>
            <w:iCs w:val="0"/>
            <w:sz w:val="22"/>
            <w:szCs w:val="22"/>
            <w:lang w:eastAsia="nl-NL"/>
          </w:rPr>
          <w:tab/>
        </w:r>
        <w:r w:rsidR="005E4B4D" w:rsidRPr="00FD2F10">
          <w:rPr>
            <w:rStyle w:val="Hyperlink"/>
          </w:rPr>
          <w:t>Doorontwikkeling taakbeheer</w:t>
        </w:r>
        <w:r w:rsidR="005E4B4D">
          <w:rPr>
            <w:webHidden/>
          </w:rPr>
          <w:tab/>
        </w:r>
        <w:r w:rsidR="005E4B4D">
          <w:rPr>
            <w:webHidden/>
          </w:rPr>
          <w:fldChar w:fldCharType="begin"/>
        </w:r>
        <w:r w:rsidR="005E4B4D">
          <w:rPr>
            <w:webHidden/>
          </w:rPr>
          <w:instrText xml:space="preserve"> PAGEREF _Toc119591149 \h </w:instrText>
        </w:r>
        <w:r w:rsidR="005E4B4D">
          <w:rPr>
            <w:webHidden/>
          </w:rPr>
        </w:r>
        <w:r w:rsidR="005E4B4D">
          <w:rPr>
            <w:webHidden/>
          </w:rPr>
          <w:fldChar w:fldCharType="separate"/>
        </w:r>
        <w:r w:rsidR="002030F0">
          <w:rPr>
            <w:webHidden/>
          </w:rPr>
          <w:t>4</w:t>
        </w:r>
        <w:r w:rsidR="005E4B4D">
          <w:rPr>
            <w:webHidden/>
          </w:rPr>
          <w:fldChar w:fldCharType="end"/>
        </w:r>
      </w:hyperlink>
    </w:p>
    <w:p w14:paraId="03E6CD5D" w14:textId="787A8815" w:rsidR="005E4B4D" w:rsidRPr="005E4B4D" w:rsidRDefault="00000000" w:rsidP="005E4B4D">
      <w:pPr>
        <w:pStyle w:val="Inhopg4"/>
        <w:rPr>
          <w:rFonts w:eastAsiaTheme="minorEastAsia" w:cstheme="minorBidi"/>
          <w:iCs w:val="0"/>
          <w:noProof/>
          <w:lang w:eastAsia="nl-NL"/>
        </w:rPr>
      </w:pPr>
      <w:hyperlink w:anchor="_Toc119591150" w:history="1">
        <w:r w:rsidR="005E4B4D" w:rsidRPr="005E4B4D">
          <w:rPr>
            <w:rStyle w:val="Hyperlink"/>
            <w:rFonts w:ascii="FuturaBT Light" w:hAnsi="FuturaBT Light"/>
            <w:noProof/>
            <w:sz w:val="16"/>
            <w:szCs w:val="16"/>
          </w:rPr>
          <w:t>2.1.3.1</w:t>
        </w:r>
        <w:r w:rsidR="005E4B4D">
          <w:rPr>
            <w:rStyle w:val="Hyperlink"/>
            <w:rFonts w:ascii="FuturaBT Light" w:hAnsi="FuturaBT Light"/>
            <w:noProof/>
            <w:sz w:val="16"/>
            <w:szCs w:val="16"/>
          </w:rPr>
          <w:t xml:space="preserve">  </w:t>
        </w:r>
        <w:r w:rsidR="009C7344">
          <w:rPr>
            <w:rStyle w:val="Hyperlink"/>
            <w:rFonts w:ascii="FuturaBT Light" w:hAnsi="FuturaBT Light"/>
            <w:noProof/>
            <w:sz w:val="16"/>
            <w:szCs w:val="16"/>
          </w:rPr>
          <w:t>O</w:t>
        </w:r>
        <w:r w:rsidR="005E4B4D" w:rsidRPr="005E4B4D">
          <w:rPr>
            <w:rStyle w:val="Hyperlink"/>
            <w:rFonts w:ascii="FuturaBT Light" w:hAnsi="FuturaBT Light"/>
            <w:noProof/>
            <w:sz w:val="16"/>
            <w:szCs w:val="16"/>
          </w:rPr>
          <w:t>nbewerkbare taaksoorten wijzigen</w:t>
        </w:r>
        <w:r w:rsidR="005E4B4D" w:rsidRPr="005E4B4D">
          <w:rPr>
            <w:noProof/>
            <w:webHidden/>
          </w:rPr>
          <w:tab/>
        </w:r>
        <w:r w:rsidR="005E4B4D" w:rsidRPr="005E4B4D">
          <w:rPr>
            <w:noProof/>
            <w:webHidden/>
          </w:rPr>
          <w:fldChar w:fldCharType="begin"/>
        </w:r>
        <w:r w:rsidR="005E4B4D" w:rsidRPr="005E4B4D">
          <w:rPr>
            <w:noProof/>
            <w:webHidden/>
          </w:rPr>
          <w:instrText xml:space="preserve"> PAGEREF _Toc119591150 \h </w:instrText>
        </w:r>
        <w:r w:rsidR="005E4B4D" w:rsidRPr="005E4B4D">
          <w:rPr>
            <w:noProof/>
            <w:webHidden/>
          </w:rPr>
        </w:r>
        <w:r w:rsidR="005E4B4D" w:rsidRPr="005E4B4D">
          <w:rPr>
            <w:noProof/>
            <w:webHidden/>
          </w:rPr>
          <w:fldChar w:fldCharType="separate"/>
        </w:r>
        <w:r w:rsidR="002030F0">
          <w:rPr>
            <w:noProof/>
            <w:webHidden/>
          </w:rPr>
          <w:t>4</w:t>
        </w:r>
        <w:r w:rsidR="005E4B4D" w:rsidRPr="005E4B4D">
          <w:rPr>
            <w:noProof/>
            <w:webHidden/>
          </w:rPr>
          <w:fldChar w:fldCharType="end"/>
        </w:r>
      </w:hyperlink>
    </w:p>
    <w:p w14:paraId="48611644" w14:textId="5AC925D9" w:rsidR="005E4B4D" w:rsidRPr="005E4B4D" w:rsidRDefault="00000000" w:rsidP="005E4B4D">
      <w:pPr>
        <w:pStyle w:val="Inhopg4"/>
        <w:rPr>
          <w:rFonts w:eastAsiaTheme="minorEastAsia" w:cstheme="minorBidi"/>
          <w:iCs w:val="0"/>
          <w:noProof/>
          <w:lang w:eastAsia="nl-NL"/>
        </w:rPr>
      </w:pPr>
      <w:hyperlink w:anchor="_Toc119591151" w:history="1">
        <w:r w:rsidR="005E4B4D" w:rsidRPr="005E4B4D">
          <w:rPr>
            <w:rStyle w:val="Hyperlink"/>
            <w:rFonts w:ascii="FuturaBT Light" w:hAnsi="FuturaBT Light"/>
            <w:noProof/>
            <w:sz w:val="16"/>
            <w:szCs w:val="16"/>
          </w:rPr>
          <w:t>2.1.3.2</w:t>
        </w:r>
        <w:r w:rsidR="009C7344">
          <w:rPr>
            <w:rStyle w:val="Hyperlink"/>
            <w:rFonts w:ascii="FuturaBT Light" w:hAnsi="FuturaBT Light"/>
            <w:noProof/>
            <w:sz w:val="16"/>
            <w:szCs w:val="16"/>
          </w:rPr>
          <w:t xml:space="preserve">  </w:t>
        </w:r>
        <w:r w:rsidR="005E4B4D" w:rsidRPr="005E4B4D">
          <w:rPr>
            <w:rStyle w:val="Hyperlink"/>
            <w:rFonts w:ascii="FuturaBT Light" w:hAnsi="FuturaBT Light"/>
            <w:noProof/>
            <w:sz w:val="16"/>
            <w:szCs w:val="16"/>
          </w:rPr>
          <w:t>Taakcode toekennen</w:t>
        </w:r>
        <w:r w:rsidR="005E4B4D" w:rsidRPr="005E4B4D">
          <w:rPr>
            <w:noProof/>
            <w:webHidden/>
          </w:rPr>
          <w:tab/>
        </w:r>
        <w:r w:rsidR="005E4B4D" w:rsidRPr="005E4B4D">
          <w:rPr>
            <w:noProof/>
            <w:webHidden/>
          </w:rPr>
          <w:fldChar w:fldCharType="begin"/>
        </w:r>
        <w:r w:rsidR="005E4B4D" w:rsidRPr="005E4B4D">
          <w:rPr>
            <w:noProof/>
            <w:webHidden/>
          </w:rPr>
          <w:instrText xml:space="preserve"> PAGEREF _Toc119591151 \h </w:instrText>
        </w:r>
        <w:r w:rsidR="005E4B4D" w:rsidRPr="005E4B4D">
          <w:rPr>
            <w:noProof/>
            <w:webHidden/>
          </w:rPr>
        </w:r>
        <w:r w:rsidR="005E4B4D" w:rsidRPr="005E4B4D">
          <w:rPr>
            <w:noProof/>
            <w:webHidden/>
          </w:rPr>
          <w:fldChar w:fldCharType="separate"/>
        </w:r>
        <w:r w:rsidR="002030F0">
          <w:rPr>
            <w:noProof/>
            <w:webHidden/>
          </w:rPr>
          <w:t>5</w:t>
        </w:r>
        <w:r w:rsidR="005E4B4D" w:rsidRPr="005E4B4D">
          <w:rPr>
            <w:noProof/>
            <w:webHidden/>
          </w:rPr>
          <w:fldChar w:fldCharType="end"/>
        </w:r>
      </w:hyperlink>
    </w:p>
    <w:p w14:paraId="4FA0125B" w14:textId="1BD75402" w:rsidR="005E4B4D" w:rsidRPr="005E4B4D" w:rsidRDefault="00000000">
      <w:pPr>
        <w:pStyle w:val="Inhopg1"/>
        <w:rPr>
          <w:rFonts w:eastAsiaTheme="minorEastAsia" w:cstheme="minorBidi"/>
          <w:bCs w:val="0"/>
          <w:iCs w:val="0"/>
          <w:caps w:val="0"/>
          <w:sz w:val="16"/>
          <w:szCs w:val="16"/>
          <w:lang w:eastAsia="nl-NL"/>
        </w:rPr>
      </w:pPr>
      <w:hyperlink w:anchor="_Toc119591152" w:history="1">
        <w:r w:rsidR="005E4B4D" w:rsidRPr="005E4B4D">
          <w:rPr>
            <w:rStyle w:val="Hyperlink"/>
            <w:sz w:val="16"/>
            <w:szCs w:val="16"/>
          </w:rPr>
          <w:t>3</w:t>
        </w:r>
        <w:r w:rsidR="005E4B4D" w:rsidRPr="005E4B4D">
          <w:rPr>
            <w:rFonts w:eastAsiaTheme="minorEastAsia" w:cstheme="minorBidi"/>
            <w:bCs w:val="0"/>
            <w:iCs w:val="0"/>
            <w:caps w:val="0"/>
            <w:sz w:val="16"/>
            <w:szCs w:val="16"/>
            <w:lang w:eastAsia="nl-NL"/>
          </w:rPr>
          <w:tab/>
        </w:r>
        <w:r w:rsidR="005E4B4D" w:rsidRPr="005E4B4D">
          <w:rPr>
            <w:rStyle w:val="Hyperlink"/>
            <w:sz w:val="16"/>
            <w:szCs w:val="16"/>
          </w:rPr>
          <w:t>Modules</w:t>
        </w:r>
        <w:r w:rsidR="005E4B4D" w:rsidRPr="005E4B4D">
          <w:rPr>
            <w:webHidden/>
            <w:sz w:val="16"/>
            <w:szCs w:val="16"/>
          </w:rPr>
          <w:tab/>
        </w:r>
        <w:r w:rsidR="005E4B4D" w:rsidRPr="005E4B4D">
          <w:rPr>
            <w:webHidden/>
            <w:sz w:val="16"/>
            <w:szCs w:val="16"/>
          </w:rPr>
          <w:fldChar w:fldCharType="begin"/>
        </w:r>
        <w:r w:rsidR="005E4B4D" w:rsidRPr="005E4B4D">
          <w:rPr>
            <w:webHidden/>
            <w:sz w:val="16"/>
            <w:szCs w:val="16"/>
          </w:rPr>
          <w:instrText xml:space="preserve"> PAGEREF _Toc119591152 \h </w:instrText>
        </w:r>
        <w:r w:rsidR="005E4B4D" w:rsidRPr="005E4B4D">
          <w:rPr>
            <w:webHidden/>
            <w:sz w:val="16"/>
            <w:szCs w:val="16"/>
          </w:rPr>
        </w:r>
        <w:r w:rsidR="005E4B4D" w:rsidRPr="005E4B4D">
          <w:rPr>
            <w:webHidden/>
            <w:sz w:val="16"/>
            <w:szCs w:val="16"/>
          </w:rPr>
          <w:fldChar w:fldCharType="separate"/>
        </w:r>
        <w:r w:rsidR="002030F0">
          <w:rPr>
            <w:webHidden/>
            <w:sz w:val="16"/>
            <w:szCs w:val="16"/>
          </w:rPr>
          <w:t>5</w:t>
        </w:r>
        <w:r w:rsidR="005E4B4D" w:rsidRPr="005E4B4D">
          <w:rPr>
            <w:webHidden/>
            <w:sz w:val="16"/>
            <w:szCs w:val="16"/>
          </w:rPr>
          <w:fldChar w:fldCharType="end"/>
        </w:r>
      </w:hyperlink>
    </w:p>
    <w:p w14:paraId="4AED1D3A" w14:textId="62439E20" w:rsidR="005E4B4D" w:rsidRDefault="00000000">
      <w:pPr>
        <w:pStyle w:val="Inhopg2"/>
        <w:rPr>
          <w:rFonts w:asciiTheme="minorHAnsi" w:eastAsiaTheme="minorEastAsia" w:hAnsiTheme="minorHAnsi" w:cstheme="minorBidi"/>
          <w:noProof/>
          <w:sz w:val="22"/>
          <w:szCs w:val="22"/>
          <w:lang w:eastAsia="nl-NL"/>
        </w:rPr>
      </w:pPr>
      <w:hyperlink w:anchor="_Toc119591153" w:history="1">
        <w:r w:rsidR="005E4B4D" w:rsidRPr="00FD2F10">
          <w:rPr>
            <w:rStyle w:val="Hyperlink"/>
            <w:noProof/>
            <w14:scene3d>
              <w14:camera w14:prst="orthographicFront"/>
              <w14:lightRig w14:rig="threePt" w14:dir="t">
                <w14:rot w14:lat="0" w14:lon="0" w14:rev="0"/>
              </w14:lightRig>
            </w14:scene3d>
          </w:rPr>
          <w:t>3.1</w:t>
        </w:r>
        <w:r w:rsidR="005E4B4D">
          <w:rPr>
            <w:rFonts w:asciiTheme="minorHAnsi" w:eastAsiaTheme="minorEastAsia" w:hAnsiTheme="minorHAnsi" w:cstheme="minorBidi"/>
            <w:noProof/>
            <w:sz w:val="22"/>
            <w:szCs w:val="22"/>
            <w:lang w:eastAsia="nl-NL"/>
          </w:rPr>
          <w:tab/>
        </w:r>
        <w:r w:rsidR="005E4B4D" w:rsidRPr="00FD2F10">
          <w:rPr>
            <w:rStyle w:val="Hyperlink"/>
            <w:noProof/>
          </w:rPr>
          <w:t>Contractmanagement</w:t>
        </w:r>
        <w:r w:rsidR="005E4B4D">
          <w:rPr>
            <w:noProof/>
            <w:webHidden/>
          </w:rPr>
          <w:tab/>
        </w:r>
        <w:r w:rsidR="005E4B4D">
          <w:rPr>
            <w:noProof/>
            <w:webHidden/>
          </w:rPr>
          <w:fldChar w:fldCharType="begin"/>
        </w:r>
        <w:r w:rsidR="005E4B4D">
          <w:rPr>
            <w:noProof/>
            <w:webHidden/>
          </w:rPr>
          <w:instrText xml:space="preserve"> PAGEREF _Toc119591153 \h </w:instrText>
        </w:r>
        <w:r w:rsidR="005E4B4D">
          <w:rPr>
            <w:noProof/>
            <w:webHidden/>
          </w:rPr>
        </w:r>
        <w:r w:rsidR="005E4B4D">
          <w:rPr>
            <w:noProof/>
            <w:webHidden/>
          </w:rPr>
          <w:fldChar w:fldCharType="separate"/>
        </w:r>
        <w:r w:rsidR="002030F0">
          <w:rPr>
            <w:noProof/>
            <w:webHidden/>
          </w:rPr>
          <w:t>5</w:t>
        </w:r>
        <w:r w:rsidR="005E4B4D">
          <w:rPr>
            <w:noProof/>
            <w:webHidden/>
          </w:rPr>
          <w:fldChar w:fldCharType="end"/>
        </w:r>
      </w:hyperlink>
    </w:p>
    <w:p w14:paraId="058710B1" w14:textId="044C9FB3"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54" w:history="1">
        <w:r w:rsidR="005E4B4D" w:rsidRPr="00FD2F10">
          <w:rPr>
            <w:rStyle w:val="Hyperlink"/>
          </w:rPr>
          <w:t>3.1.1</w:t>
        </w:r>
        <w:r w:rsidR="005E4B4D">
          <w:rPr>
            <w:rFonts w:asciiTheme="minorHAnsi" w:eastAsiaTheme="minorEastAsia" w:hAnsiTheme="minorHAnsi" w:cstheme="minorBidi"/>
            <w:iCs w:val="0"/>
            <w:sz w:val="22"/>
            <w:szCs w:val="22"/>
            <w:lang w:eastAsia="nl-NL"/>
          </w:rPr>
          <w:tab/>
        </w:r>
        <w:r w:rsidR="005E4B4D" w:rsidRPr="00FD2F10">
          <w:rPr>
            <w:rStyle w:val="Hyperlink"/>
          </w:rPr>
          <w:t>Standaard uitvoeringsduur taken, spreekuren en opdrachtsoorten opslaan bij verrichtingen en tonen in verrichtingenoverzicht en export (Normtijden)</w:t>
        </w:r>
        <w:r w:rsidR="005E4B4D">
          <w:rPr>
            <w:webHidden/>
          </w:rPr>
          <w:tab/>
        </w:r>
        <w:r w:rsidR="005E4B4D">
          <w:rPr>
            <w:webHidden/>
          </w:rPr>
          <w:fldChar w:fldCharType="begin"/>
        </w:r>
        <w:r w:rsidR="005E4B4D">
          <w:rPr>
            <w:webHidden/>
          </w:rPr>
          <w:instrText xml:space="preserve"> PAGEREF _Toc119591154 \h </w:instrText>
        </w:r>
        <w:r w:rsidR="005E4B4D">
          <w:rPr>
            <w:webHidden/>
          </w:rPr>
        </w:r>
        <w:r w:rsidR="005E4B4D">
          <w:rPr>
            <w:webHidden/>
          </w:rPr>
          <w:fldChar w:fldCharType="separate"/>
        </w:r>
        <w:r w:rsidR="002030F0">
          <w:rPr>
            <w:webHidden/>
          </w:rPr>
          <w:t>5</w:t>
        </w:r>
        <w:r w:rsidR="005E4B4D">
          <w:rPr>
            <w:webHidden/>
          </w:rPr>
          <w:fldChar w:fldCharType="end"/>
        </w:r>
      </w:hyperlink>
    </w:p>
    <w:p w14:paraId="299808E1" w14:textId="67F476A8" w:rsidR="005E4B4D" w:rsidRDefault="00000000">
      <w:pPr>
        <w:pStyle w:val="Inhopg2"/>
        <w:rPr>
          <w:rFonts w:asciiTheme="minorHAnsi" w:eastAsiaTheme="minorEastAsia" w:hAnsiTheme="minorHAnsi" w:cstheme="minorBidi"/>
          <w:noProof/>
          <w:sz w:val="22"/>
          <w:szCs w:val="22"/>
          <w:lang w:eastAsia="nl-NL"/>
        </w:rPr>
      </w:pPr>
      <w:hyperlink w:anchor="_Toc119591155" w:history="1">
        <w:r w:rsidR="005E4B4D" w:rsidRPr="00FD2F10">
          <w:rPr>
            <w:rStyle w:val="Hyperlink"/>
            <w:noProof/>
            <w14:scene3d>
              <w14:camera w14:prst="orthographicFront"/>
              <w14:lightRig w14:rig="threePt" w14:dir="t">
                <w14:rot w14:lat="0" w14:lon="0" w14:rev="0"/>
              </w14:lightRig>
            </w14:scene3d>
          </w:rPr>
          <w:t>3.2</w:t>
        </w:r>
        <w:r w:rsidR="005E4B4D">
          <w:rPr>
            <w:rFonts w:asciiTheme="minorHAnsi" w:eastAsiaTheme="minorEastAsia" w:hAnsiTheme="minorHAnsi" w:cstheme="minorBidi"/>
            <w:noProof/>
            <w:sz w:val="22"/>
            <w:szCs w:val="22"/>
            <w:lang w:eastAsia="nl-NL"/>
          </w:rPr>
          <w:tab/>
        </w:r>
        <w:r w:rsidR="005E4B4D" w:rsidRPr="00FD2F10">
          <w:rPr>
            <w:rStyle w:val="Hyperlink"/>
            <w:noProof/>
          </w:rPr>
          <w:t>Inkomensverzekeringen</w:t>
        </w:r>
        <w:r w:rsidR="005E4B4D">
          <w:rPr>
            <w:noProof/>
            <w:webHidden/>
          </w:rPr>
          <w:tab/>
        </w:r>
        <w:r w:rsidR="005E4B4D">
          <w:rPr>
            <w:noProof/>
            <w:webHidden/>
          </w:rPr>
          <w:fldChar w:fldCharType="begin"/>
        </w:r>
        <w:r w:rsidR="005E4B4D">
          <w:rPr>
            <w:noProof/>
            <w:webHidden/>
          </w:rPr>
          <w:instrText xml:space="preserve"> PAGEREF _Toc119591155 \h </w:instrText>
        </w:r>
        <w:r w:rsidR="005E4B4D">
          <w:rPr>
            <w:noProof/>
            <w:webHidden/>
          </w:rPr>
        </w:r>
        <w:r w:rsidR="005E4B4D">
          <w:rPr>
            <w:noProof/>
            <w:webHidden/>
          </w:rPr>
          <w:fldChar w:fldCharType="separate"/>
        </w:r>
        <w:r w:rsidR="002030F0">
          <w:rPr>
            <w:noProof/>
            <w:webHidden/>
          </w:rPr>
          <w:t>8</w:t>
        </w:r>
        <w:r w:rsidR="005E4B4D">
          <w:rPr>
            <w:noProof/>
            <w:webHidden/>
          </w:rPr>
          <w:fldChar w:fldCharType="end"/>
        </w:r>
      </w:hyperlink>
    </w:p>
    <w:p w14:paraId="48996A84" w14:textId="423E81AF"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56" w:history="1">
        <w:r w:rsidR="005E4B4D" w:rsidRPr="00FD2F10">
          <w:rPr>
            <w:rStyle w:val="Hyperlink"/>
          </w:rPr>
          <w:t>3.2.1</w:t>
        </w:r>
        <w:r w:rsidR="005E4B4D">
          <w:rPr>
            <w:rFonts w:asciiTheme="minorHAnsi" w:eastAsiaTheme="minorEastAsia" w:hAnsiTheme="minorHAnsi" w:cstheme="minorBidi"/>
            <w:iCs w:val="0"/>
            <w:sz w:val="22"/>
            <w:szCs w:val="22"/>
            <w:lang w:eastAsia="nl-NL"/>
          </w:rPr>
          <w:tab/>
        </w:r>
        <w:r w:rsidR="005E4B4D" w:rsidRPr="00FD2F10">
          <w:rPr>
            <w:rStyle w:val="Hyperlink"/>
          </w:rPr>
          <w:t>Performance Schadelast</w:t>
        </w:r>
        <w:r w:rsidR="005E4B4D">
          <w:rPr>
            <w:webHidden/>
          </w:rPr>
          <w:tab/>
        </w:r>
        <w:r w:rsidR="005E4B4D">
          <w:rPr>
            <w:webHidden/>
          </w:rPr>
          <w:fldChar w:fldCharType="begin"/>
        </w:r>
        <w:r w:rsidR="005E4B4D">
          <w:rPr>
            <w:webHidden/>
          </w:rPr>
          <w:instrText xml:space="preserve"> PAGEREF _Toc119591156 \h </w:instrText>
        </w:r>
        <w:r w:rsidR="005E4B4D">
          <w:rPr>
            <w:webHidden/>
          </w:rPr>
        </w:r>
        <w:r w:rsidR="005E4B4D">
          <w:rPr>
            <w:webHidden/>
          </w:rPr>
          <w:fldChar w:fldCharType="separate"/>
        </w:r>
        <w:r w:rsidR="002030F0">
          <w:rPr>
            <w:webHidden/>
          </w:rPr>
          <w:t>8</w:t>
        </w:r>
        <w:r w:rsidR="005E4B4D">
          <w:rPr>
            <w:webHidden/>
          </w:rPr>
          <w:fldChar w:fldCharType="end"/>
        </w:r>
      </w:hyperlink>
    </w:p>
    <w:p w14:paraId="40982E6F" w14:textId="29B9437A" w:rsidR="005E4B4D" w:rsidRDefault="00000000">
      <w:pPr>
        <w:pStyle w:val="Inhopg2"/>
        <w:rPr>
          <w:rFonts w:asciiTheme="minorHAnsi" w:eastAsiaTheme="minorEastAsia" w:hAnsiTheme="minorHAnsi" w:cstheme="minorBidi"/>
          <w:noProof/>
          <w:sz w:val="22"/>
          <w:szCs w:val="22"/>
          <w:lang w:eastAsia="nl-NL"/>
        </w:rPr>
      </w:pPr>
      <w:hyperlink w:anchor="_Toc119591157" w:history="1">
        <w:r w:rsidR="005E4B4D" w:rsidRPr="00FD2F10">
          <w:rPr>
            <w:rStyle w:val="Hyperlink"/>
            <w:noProof/>
            <w14:scene3d>
              <w14:camera w14:prst="orthographicFront"/>
              <w14:lightRig w14:rig="threePt" w14:dir="t">
                <w14:rot w14:lat="0" w14:lon="0" w14:rev="0"/>
              </w14:lightRig>
            </w14:scene3d>
          </w:rPr>
          <w:t>3.3</w:t>
        </w:r>
        <w:r w:rsidR="005E4B4D">
          <w:rPr>
            <w:rFonts w:asciiTheme="minorHAnsi" w:eastAsiaTheme="minorEastAsia" w:hAnsiTheme="minorHAnsi" w:cstheme="minorBidi"/>
            <w:noProof/>
            <w:sz w:val="22"/>
            <w:szCs w:val="22"/>
            <w:lang w:eastAsia="nl-NL"/>
          </w:rPr>
          <w:tab/>
        </w:r>
        <w:r w:rsidR="005E4B4D" w:rsidRPr="00FD2F10">
          <w:rPr>
            <w:rStyle w:val="Hyperlink"/>
            <w:noProof/>
          </w:rPr>
          <w:t>Providerboog</w:t>
        </w:r>
        <w:r w:rsidR="005E4B4D">
          <w:rPr>
            <w:noProof/>
            <w:webHidden/>
          </w:rPr>
          <w:tab/>
        </w:r>
        <w:r w:rsidR="005E4B4D">
          <w:rPr>
            <w:noProof/>
            <w:webHidden/>
          </w:rPr>
          <w:fldChar w:fldCharType="begin"/>
        </w:r>
        <w:r w:rsidR="005E4B4D">
          <w:rPr>
            <w:noProof/>
            <w:webHidden/>
          </w:rPr>
          <w:instrText xml:space="preserve"> PAGEREF _Toc119591157 \h </w:instrText>
        </w:r>
        <w:r w:rsidR="005E4B4D">
          <w:rPr>
            <w:noProof/>
            <w:webHidden/>
          </w:rPr>
        </w:r>
        <w:r w:rsidR="005E4B4D">
          <w:rPr>
            <w:noProof/>
            <w:webHidden/>
          </w:rPr>
          <w:fldChar w:fldCharType="separate"/>
        </w:r>
        <w:r w:rsidR="002030F0">
          <w:rPr>
            <w:noProof/>
            <w:webHidden/>
          </w:rPr>
          <w:t>8</w:t>
        </w:r>
        <w:r w:rsidR="005E4B4D">
          <w:rPr>
            <w:noProof/>
            <w:webHidden/>
          </w:rPr>
          <w:fldChar w:fldCharType="end"/>
        </w:r>
      </w:hyperlink>
    </w:p>
    <w:p w14:paraId="293A220E" w14:textId="1A43EC9B"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58" w:history="1">
        <w:r w:rsidR="005E4B4D" w:rsidRPr="00FD2F10">
          <w:rPr>
            <w:rStyle w:val="Hyperlink"/>
          </w:rPr>
          <w:t>3.3.1</w:t>
        </w:r>
        <w:r w:rsidR="005E4B4D">
          <w:rPr>
            <w:rFonts w:asciiTheme="minorHAnsi" w:eastAsiaTheme="minorEastAsia" w:hAnsiTheme="minorHAnsi" w:cstheme="minorBidi"/>
            <w:iCs w:val="0"/>
            <w:sz w:val="22"/>
            <w:szCs w:val="22"/>
            <w:lang w:eastAsia="nl-NL"/>
          </w:rPr>
          <w:tab/>
        </w:r>
        <w:r w:rsidR="005E4B4D" w:rsidRPr="00FD2F10">
          <w:rPr>
            <w:rStyle w:val="Hyperlink"/>
          </w:rPr>
          <w:t>Trigger op basis van provider en programma (triggers)</w:t>
        </w:r>
        <w:r w:rsidR="005E4B4D">
          <w:rPr>
            <w:webHidden/>
          </w:rPr>
          <w:tab/>
        </w:r>
        <w:r w:rsidR="005E4B4D">
          <w:rPr>
            <w:webHidden/>
          </w:rPr>
          <w:fldChar w:fldCharType="begin"/>
        </w:r>
        <w:r w:rsidR="005E4B4D">
          <w:rPr>
            <w:webHidden/>
          </w:rPr>
          <w:instrText xml:space="preserve"> PAGEREF _Toc119591158 \h </w:instrText>
        </w:r>
        <w:r w:rsidR="005E4B4D">
          <w:rPr>
            <w:webHidden/>
          </w:rPr>
        </w:r>
        <w:r w:rsidR="005E4B4D">
          <w:rPr>
            <w:webHidden/>
          </w:rPr>
          <w:fldChar w:fldCharType="separate"/>
        </w:r>
        <w:r w:rsidR="002030F0">
          <w:rPr>
            <w:webHidden/>
          </w:rPr>
          <w:t>8</w:t>
        </w:r>
        <w:r w:rsidR="005E4B4D">
          <w:rPr>
            <w:webHidden/>
          </w:rPr>
          <w:fldChar w:fldCharType="end"/>
        </w:r>
      </w:hyperlink>
    </w:p>
    <w:p w14:paraId="363942BC" w14:textId="24161FC8" w:rsidR="005E4B4D" w:rsidRDefault="00000000">
      <w:pPr>
        <w:pStyle w:val="Inhopg2"/>
        <w:rPr>
          <w:rFonts w:asciiTheme="minorHAnsi" w:eastAsiaTheme="minorEastAsia" w:hAnsiTheme="minorHAnsi" w:cstheme="minorBidi"/>
          <w:noProof/>
          <w:sz w:val="22"/>
          <w:szCs w:val="22"/>
          <w:lang w:eastAsia="nl-NL"/>
        </w:rPr>
      </w:pPr>
      <w:hyperlink w:anchor="_Toc119591159" w:history="1">
        <w:r w:rsidR="005E4B4D" w:rsidRPr="00FD2F10">
          <w:rPr>
            <w:rStyle w:val="Hyperlink"/>
            <w:noProof/>
            <w14:scene3d>
              <w14:camera w14:prst="orthographicFront"/>
              <w14:lightRig w14:rig="threePt" w14:dir="t">
                <w14:rot w14:lat="0" w14:lon="0" w14:rev="0"/>
              </w14:lightRig>
            </w14:scene3d>
          </w:rPr>
          <w:t>3.4</w:t>
        </w:r>
        <w:r w:rsidR="005E4B4D">
          <w:rPr>
            <w:rFonts w:asciiTheme="minorHAnsi" w:eastAsiaTheme="minorEastAsia" w:hAnsiTheme="minorHAnsi" w:cstheme="minorBidi"/>
            <w:noProof/>
            <w:sz w:val="22"/>
            <w:szCs w:val="22"/>
            <w:lang w:eastAsia="nl-NL"/>
          </w:rPr>
          <w:tab/>
        </w:r>
        <w:r w:rsidR="005E4B4D" w:rsidRPr="00FD2F10">
          <w:rPr>
            <w:rStyle w:val="Hyperlink"/>
            <w:noProof/>
          </w:rPr>
          <w:t>Verloning</w:t>
        </w:r>
        <w:r w:rsidR="005E4B4D">
          <w:rPr>
            <w:noProof/>
            <w:webHidden/>
          </w:rPr>
          <w:tab/>
        </w:r>
        <w:r w:rsidR="005E4B4D">
          <w:rPr>
            <w:noProof/>
            <w:webHidden/>
          </w:rPr>
          <w:fldChar w:fldCharType="begin"/>
        </w:r>
        <w:r w:rsidR="005E4B4D">
          <w:rPr>
            <w:noProof/>
            <w:webHidden/>
          </w:rPr>
          <w:instrText xml:space="preserve"> PAGEREF _Toc119591159 \h </w:instrText>
        </w:r>
        <w:r w:rsidR="005E4B4D">
          <w:rPr>
            <w:noProof/>
            <w:webHidden/>
          </w:rPr>
        </w:r>
        <w:r w:rsidR="005E4B4D">
          <w:rPr>
            <w:noProof/>
            <w:webHidden/>
          </w:rPr>
          <w:fldChar w:fldCharType="separate"/>
        </w:r>
        <w:r w:rsidR="002030F0">
          <w:rPr>
            <w:noProof/>
            <w:webHidden/>
          </w:rPr>
          <w:t>9</w:t>
        </w:r>
        <w:r w:rsidR="005E4B4D">
          <w:rPr>
            <w:noProof/>
            <w:webHidden/>
          </w:rPr>
          <w:fldChar w:fldCharType="end"/>
        </w:r>
      </w:hyperlink>
    </w:p>
    <w:p w14:paraId="4DC2035B" w14:textId="1C7824B6" w:rsidR="005E4B4D" w:rsidRDefault="00000000">
      <w:pPr>
        <w:pStyle w:val="Inhopg3"/>
        <w:tabs>
          <w:tab w:val="left" w:pos="2459"/>
        </w:tabs>
        <w:rPr>
          <w:rFonts w:asciiTheme="minorHAnsi" w:eastAsiaTheme="minorEastAsia" w:hAnsiTheme="minorHAnsi" w:cstheme="minorBidi"/>
          <w:iCs w:val="0"/>
          <w:sz w:val="22"/>
          <w:szCs w:val="22"/>
          <w:lang w:eastAsia="nl-NL"/>
        </w:rPr>
      </w:pPr>
      <w:hyperlink w:anchor="_Toc119591160" w:history="1">
        <w:r w:rsidR="005E4B4D" w:rsidRPr="00FD2F10">
          <w:rPr>
            <w:rStyle w:val="Hyperlink"/>
          </w:rPr>
          <w:t>3.4.1</w:t>
        </w:r>
        <w:r w:rsidR="005E4B4D">
          <w:rPr>
            <w:rFonts w:asciiTheme="minorHAnsi" w:eastAsiaTheme="minorEastAsia" w:hAnsiTheme="minorHAnsi" w:cstheme="minorBidi"/>
            <w:iCs w:val="0"/>
            <w:sz w:val="22"/>
            <w:szCs w:val="22"/>
            <w:lang w:eastAsia="nl-NL"/>
          </w:rPr>
          <w:tab/>
        </w:r>
        <w:r w:rsidR="005E4B4D" w:rsidRPr="00FD2F10">
          <w:rPr>
            <w:rStyle w:val="Hyperlink"/>
          </w:rPr>
          <w:t>Oplossing zodat gewerkte dagen &amp; uren bij het vervallen van de ZW-uitkering over een periode verwijderd worden uit het salarispakket</w:t>
        </w:r>
        <w:r w:rsidR="005E4B4D">
          <w:rPr>
            <w:webHidden/>
          </w:rPr>
          <w:tab/>
        </w:r>
        <w:r w:rsidR="005E4B4D">
          <w:rPr>
            <w:webHidden/>
          </w:rPr>
          <w:fldChar w:fldCharType="begin"/>
        </w:r>
        <w:r w:rsidR="005E4B4D">
          <w:rPr>
            <w:webHidden/>
          </w:rPr>
          <w:instrText xml:space="preserve"> PAGEREF _Toc119591160 \h </w:instrText>
        </w:r>
        <w:r w:rsidR="005E4B4D">
          <w:rPr>
            <w:webHidden/>
          </w:rPr>
        </w:r>
        <w:r w:rsidR="005E4B4D">
          <w:rPr>
            <w:webHidden/>
          </w:rPr>
          <w:fldChar w:fldCharType="separate"/>
        </w:r>
        <w:r w:rsidR="002030F0">
          <w:rPr>
            <w:webHidden/>
          </w:rPr>
          <w:t>9</w:t>
        </w:r>
        <w:r w:rsidR="005E4B4D">
          <w:rPr>
            <w:webHidden/>
          </w:rPr>
          <w:fldChar w:fldCharType="end"/>
        </w:r>
      </w:hyperlink>
    </w:p>
    <w:p w14:paraId="794679B4" w14:textId="2707AAD4"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19591144"/>
      <w:bookmarkEnd w:id="0"/>
      <w:bookmarkEnd w:id="1"/>
      <w:r>
        <w:lastRenderedPageBreak/>
        <w:t>Algemeen</w:t>
      </w:r>
      <w:bookmarkEnd w:id="2"/>
    </w:p>
    <w:p w14:paraId="5A5B2EC5" w14:textId="072929C2" w:rsidR="000F3781" w:rsidRPr="00C33C74" w:rsidRDefault="00A66E28" w:rsidP="000F3781">
      <w:pPr>
        <w:rPr>
          <w:rFonts w:ascii="Segoe UI Emoji" w:hAnsi="Segoe UI Emoji" w:cs="Segoe UI Emoji"/>
        </w:rPr>
      </w:pPr>
      <w:r w:rsidRPr="00C33C74">
        <w:t>Woensdag</w:t>
      </w:r>
      <w:r w:rsidR="000F3781" w:rsidRPr="00C33C74">
        <w:t xml:space="preserve"> </w:t>
      </w:r>
      <w:r w:rsidR="00C33C74" w:rsidRPr="00C33C74">
        <w:t>23 november</w:t>
      </w:r>
      <w:r w:rsidR="000F3781" w:rsidRPr="00C33C74">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C33C74">
        <w:rPr>
          <w:rFonts w:ascii="Segoe UI Emoji" w:hAnsi="Segoe UI Emoji" w:cs="Segoe UI Emoji"/>
        </w:rPr>
        <w:t>!</w:t>
      </w:r>
    </w:p>
    <w:p w14:paraId="485BE516" w14:textId="77777777" w:rsidR="000F3781" w:rsidRPr="00C33C74" w:rsidRDefault="000F3781" w:rsidP="000F3781">
      <w:pPr>
        <w:rPr>
          <w:rFonts w:ascii="Segoe UI Emoji" w:hAnsi="Segoe UI Emoji" w:cs="Segoe UI Emoji"/>
        </w:rPr>
      </w:pPr>
    </w:p>
    <w:p w14:paraId="78FCC4C3" w14:textId="0046A345" w:rsidR="0015473B" w:rsidRPr="0020049B" w:rsidRDefault="009E3D8A" w:rsidP="00974680">
      <w:r w:rsidRPr="00C33C74">
        <w:t>Volgende</w:t>
      </w:r>
      <w:r w:rsidR="00B96361" w:rsidRPr="00C33C74">
        <w:t xml:space="preserve"> geplande</w:t>
      </w:r>
      <w:r w:rsidRPr="00C33C74">
        <w:t xml:space="preserve"> release: </w:t>
      </w:r>
      <w:r w:rsidR="00BD44E4" w:rsidRPr="00C33C74">
        <w:t xml:space="preserve">woensdag </w:t>
      </w:r>
      <w:r w:rsidR="00C33C74" w:rsidRPr="00C33C74">
        <w:t>7 december</w:t>
      </w:r>
      <w:r w:rsidR="00FD6B8E" w:rsidRPr="00C33C74">
        <w:t xml:space="preserve"> </w:t>
      </w:r>
      <w:r w:rsidR="0020049B" w:rsidRPr="00C33C74">
        <w:t>(d</w:t>
      </w:r>
      <w:r w:rsidR="00956C02" w:rsidRPr="00C33C74">
        <w:t>eze planning is onder voorbehoud</w:t>
      </w:r>
      <w:r w:rsidR="0020049B" w:rsidRPr="00C33C74">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Kop1"/>
      </w:pPr>
      <w:bookmarkStart w:id="4" w:name="_Toc119591145"/>
      <w:r>
        <w:t>Basis Xpert Suite</w:t>
      </w:r>
      <w:bookmarkEnd w:id="4"/>
    </w:p>
    <w:p w14:paraId="78CB1A14" w14:textId="4ACBF5DF" w:rsidR="00B07BC0" w:rsidRDefault="00B5699B" w:rsidP="005F2418">
      <w:pPr>
        <w:pStyle w:val="Kop2"/>
        <w:rPr>
          <w:iCs w:val="0"/>
          <w:lang w:eastAsia="nl-NL"/>
        </w:rPr>
      </w:pPr>
      <w:bookmarkStart w:id="5" w:name="_Aangepaste_SMS-code_bij"/>
      <w:bookmarkStart w:id="6" w:name="_Toc119591146"/>
      <w:bookmarkEnd w:id="5"/>
      <w:r w:rsidRPr="62ECF9B8">
        <w:rPr>
          <w:lang w:eastAsia="nl-NL"/>
        </w:rPr>
        <w:t>XS Beheer</w:t>
      </w:r>
      <w:bookmarkEnd w:id="6"/>
    </w:p>
    <w:p w14:paraId="300E6997" w14:textId="4409B810" w:rsidR="00DC0C74" w:rsidRDefault="00FA136B" w:rsidP="00DC0C74">
      <w:pPr>
        <w:pStyle w:val="Kop3"/>
        <w:rPr>
          <w:lang w:eastAsia="nl-NL"/>
        </w:rPr>
      </w:pPr>
      <w:bookmarkStart w:id="7" w:name="_Toc119591147"/>
      <w:r>
        <w:rPr>
          <w:lang w:eastAsia="nl-NL"/>
        </w:rPr>
        <w:t>Documentvoorwaarden beheerbaar in trigger beheer</w:t>
      </w:r>
      <w:bookmarkEnd w:id="7"/>
    </w:p>
    <w:p w14:paraId="108F355B" w14:textId="194FA54D" w:rsidR="00FA136B" w:rsidRDefault="00DF74EA" w:rsidP="00FA136B">
      <w:pPr>
        <w:rPr>
          <w:lang w:eastAsia="nl-NL"/>
        </w:rPr>
      </w:pPr>
      <w:r w:rsidRPr="00516A24">
        <w:rPr>
          <w:noProof/>
        </w:rPr>
        <w:drawing>
          <wp:inline distT="0" distB="0" distL="0" distR="0" wp14:anchorId="1F854CF2" wp14:editId="060EA907">
            <wp:extent cx="5731510" cy="33978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97885"/>
                    </a:xfrm>
                    <a:prstGeom prst="rect">
                      <a:avLst/>
                    </a:prstGeom>
                  </pic:spPr>
                </pic:pic>
              </a:graphicData>
            </a:graphic>
          </wp:inline>
        </w:drawing>
      </w:r>
    </w:p>
    <w:p w14:paraId="4EC55F54" w14:textId="77777777" w:rsidR="001A7F71" w:rsidRDefault="001A7F71" w:rsidP="001A7F71">
      <w:pPr>
        <w:rPr>
          <w:u w:val="single"/>
        </w:rPr>
      </w:pPr>
      <w:r w:rsidRPr="00A845A7">
        <w:rPr>
          <w:u w:val="single"/>
        </w:rPr>
        <w:t xml:space="preserve">Waarom deze wijzigingen? </w:t>
      </w:r>
    </w:p>
    <w:p w14:paraId="4F22B255" w14:textId="73CCE7E7" w:rsidR="001A7F71" w:rsidRDefault="001A7F71" w:rsidP="001A7F71">
      <w:r>
        <w:t xml:space="preserve">In het verleden moesten klanten </w:t>
      </w:r>
      <w:r w:rsidR="008967DB">
        <w:t>Xpert Desk</w:t>
      </w:r>
      <w:r>
        <w:t xml:space="preserve"> of de applicatie consultants vragen om </w:t>
      </w:r>
      <w:r w:rsidR="00462522">
        <w:t xml:space="preserve">triggers in te richten die spreekuur, traject en upload documenten gebruikten. Om de zelfredzaamheid te vergroten hebben we de volgende voorwaarden </w:t>
      </w:r>
      <w:r w:rsidR="000250BD">
        <w:t xml:space="preserve">beschikbaar gesteld als geavanceerd </w:t>
      </w:r>
      <w:r w:rsidR="00DD6389">
        <w:t>waarde type</w:t>
      </w:r>
      <w:r w:rsidR="000250BD">
        <w:t>, zodat klanten deze triggers zelf kunnen toevoegen.</w:t>
      </w:r>
    </w:p>
    <w:p w14:paraId="2F3540DC" w14:textId="77777777" w:rsidR="0006271D" w:rsidRDefault="0006271D" w:rsidP="001A7F71"/>
    <w:p w14:paraId="27B00097" w14:textId="77777777" w:rsidR="0055051F" w:rsidRDefault="0055051F" w:rsidP="0055051F">
      <w:pPr>
        <w:rPr>
          <w:u w:val="single"/>
        </w:rPr>
      </w:pPr>
      <w:r>
        <w:rPr>
          <w:u w:val="single"/>
        </w:rPr>
        <w:t>Wat is er gewijzigd?</w:t>
      </w:r>
    </w:p>
    <w:p w14:paraId="1A98F8CB" w14:textId="71663B8B" w:rsidR="00DD6389" w:rsidRDefault="00E66A53" w:rsidP="0006271D">
      <w:pPr>
        <w:pStyle w:val="Lijstalinea"/>
        <w:numPr>
          <w:ilvl w:val="0"/>
          <w:numId w:val="45"/>
        </w:numPr>
      </w:pPr>
      <w:r w:rsidRPr="00E66A53">
        <w:t>Spreekuurdocument hoort bij een document uit de opgegeven lijst</w:t>
      </w:r>
    </w:p>
    <w:p w14:paraId="5ED11EFD" w14:textId="5A596388" w:rsidR="00E66A53" w:rsidRDefault="001E19CC" w:rsidP="0006271D">
      <w:pPr>
        <w:pStyle w:val="Lijstalinea"/>
        <w:numPr>
          <w:ilvl w:val="0"/>
          <w:numId w:val="45"/>
        </w:numPr>
      </w:pPr>
      <w:r w:rsidRPr="001E19CC">
        <w:t>Trajectdocument hoort bij een document uit de opgegeven lijst</w:t>
      </w:r>
    </w:p>
    <w:p w14:paraId="307B2933" w14:textId="54768CE0" w:rsidR="001E19CC" w:rsidRDefault="001E19CC" w:rsidP="0006271D">
      <w:pPr>
        <w:pStyle w:val="Lijstalinea"/>
        <w:numPr>
          <w:ilvl w:val="0"/>
          <w:numId w:val="45"/>
        </w:numPr>
      </w:pPr>
      <w:r w:rsidRPr="001E19CC">
        <w:t>Controleert of een uploaddocument een documentkenmerk heeft uit de opgegeven lijst</w:t>
      </w:r>
    </w:p>
    <w:p w14:paraId="6FD28FEF" w14:textId="7C6C107D" w:rsidR="0055051F" w:rsidRDefault="0055051F" w:rsidP="001A7F71">
      <w:r>
        <w:lastRenderedPageBreak/>
        <w:t xml:space="preserve">Beheerders kunnen nu zelf deze voorwaarden toevoegen aan nieuwe en bestaande triggers. Voor bestaande triggers die </w:t>
      </w:r>
      <w:r w:rsidR="00230955">
        <w:t xml:space="preserve">deze voorwaarden gebruiken, </w:t>
      </w:r>
      <w:r w:rsidR="00407667">
        <w:t>is het potentieel mogelijk om ook zelf beheer over te nemen</w:t>
      </w:r>
      <w:r w:rsidR="0050333E">
        <w:t>.</w:t>
      </w:r>
      <w:r w:rsidR="00407667">
        <w:t xml:space="preserve"> </w:t>
      </w:r>
      <w:r w:rsidR="0050333E">
        <w:t>H</w:t>
      </w:r>
      <w:r w:rsidR="00407667">
        <w:t>iervoor zal dan nog een laatste keer met de Xpert Desk contact opgenomen moeten worden om de trigger</w:t>
      </w:r>
      <w:r w:rsidR="00330EB2">
        <w:t xml:space="preserve"> </w:t>
      </w:r>
      <w:r w:rsidR="00DD6389">
        <w:t>beheerbaar</w:t>
      </w:r>
      <w:r w:rsidR="00330EB2">
        <w:t xml:space="preserve"> te maken</w:t>
      </w:r>
      <w:r w:rsidR="002858E0">
        <w:t>. D</w:t>
      </w:r>
      <w:r w:rsidR="00330EB2">
        <w:t>it kan niet in alle gevallen</w:t>
      </w:r>
      <w:r w:rsidR="004D42BF">
        <w:t>.</w:t>
      </w:r>
      <w:r w:rsidR="00DD6389">
        <w:t xml:space="preserve"> </w:t>
      </w:r>
      <w:r w:rsidR="004D42BF">
        <w:t>A</w:t>
      </w:r>
      <w:r w:rsidR="00DD6389">
        <w:t>ls er nog andere voorwaardes gebruikt worden die niet beheerbaar zijn, of onderdeel zijn van standaard inrichting</w:t>
      </w:r>
      <w:r w:rsidR="004D42BF">
        <w:t xml:space="preserve"> is het niet mogelijk om zelf beheer</w:t>
      </w:r>
      <w:r w:rsidR="00F31B51">
        <w:t xml:space="preserve"> te krijgen</w:t>
      </w:r>
      <w:r w:rsidR="00330EB2">
        <w:t>.</w:t>
      </w:r>
    </w:p>
    <w:p w14:paraId="1C3DD4CC" w14:textId="1C63FA97" w:rsidR="006459AF" w:rsidRDefault="00DA43F8" w:rsidP="00DA43F8">
      <w:pPr>
        <w:pStyle w:val="Kop3"/>
      </w:pPr>
      <w:bookmarkStart w:id="8" w:name="_Toc119591148"/>
      <w:r>
        <w:t>DocumentIds zichtbaar in documentsjablonen beheer</w:t>
      </w:r>
      <w:bookmarkEnd w:id="8"/>
    </w:p>
    <w:p w14:paraId="41467A3C" w14:textId="4D39AC93" w:rsidR="00532072" w:rsidRDefault="00532072" w:rsidP="62ECF9B8">
      <w:pPr>
        <w:keepNext/>
      </w:pPr>
      <w:r w:rsidRPr="00532072">
        <w:rPr>
          <w:noProof/>
        </w:rPr>
        <w:drawing>
          <wp:inline distT="0" distB="0" distL="0" distR="0" wp14:anchorId="3BB92821" wp14:editId="4333948C">
            <wp:extent cx="5731510" cy="23615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61565"/>
                    </a:xfrm>
                    <a:prstGeom prst="rect">
                      <a:avLst/>
                    </a:prstGeom>
                  </pic:spPr>
                </pic:pic>
              </a:graphicData>
            </a:graphic>
          </wp:inline>
        </w:drawing>
      </w:r>
    </w:p>
    <w:p w14:paraId="2FF5B37B" w14:textId="14C80FC4" w:rsidR="00DC0C74" w:rsidRDefault="00FA136B" w:rsidP="62ECF9B8">
      <w:pPr>
        <w:keepNext/>
      </w:pPr>
      <w:r>
        <w:t>Om document I</w:t>
      </w:r>
      <w:r w:rsidR="00F31B51">
        <w:t>D</w:t>
      </w:r>
      <w:r>
        <w:t xml:space="preserve">s </w:t>
      </w:r>
      <w:r w:rsidR="001E19CC">
        <w:t xml:space="preserve">voor de triggers </w:t>
      </w:r>
      <w:r>
        <w:t>makkelijk op te kunnen zoeken, is documentsjablonen beheer geupdate naar een nieuwe tabel met daarin</w:t>
      </w:r>
      <w:r w:rsidR="00DF74EA">
        <w:t xml:space="preserve"> het DocumentID en de mogelijkheid tot zoeken.</w:t>
      </w:r>
    </w:p>
    <w:p w14:paraId="1456103D" w14:textId="77777777" w:rsidR="00012ED1" w:rsidRDefault="00012ED1" w:rsidP="00012ED1">
      <w:pPr>
        <w:pStyle w:val="Kop3"/>
      </w:pPr>
      <w:bookmarkStart w:id="9" w:name="_Toc118389467"/>
      <w:bookmarkStart w:id="10" w:name="_Toc119591149"/>
      <w:r>
        <w:t>Doorontwikkeling taakbeheer</w:t>
      </w:r>
      <w:bookmarkEnd w:id="9"/>
      <w:bookmarkEnd w:id="10"/>
    </w:p>
    <w:p w14:paraId="44B9BF17" w14:textId="6E4A5846" w:rsidR="00012ED1" w:rsidRDefault="00012ED1" w:rsidP="00012ED1">
      <w:pPr>
        <w:pStyle w:val="Kop4"/>
      </w:pPr>
      <w:bookmarkStart w:id="11" w:name="_Toc119591150"/>
      <w:r>
        <w:t>onbewerkbare taaksoorten wijzigen</w:t>
      </w:r>
      <w:bookmarkEnd w:id="11"/>
    </w:p>
    <w:p w14:paraId="6E1A4A06" w14:textId="4B79FF9C" w:rsidR="00F247BB" w:rsidRPr="00F247BB" w:rsidRDefault="00962651" w:rsidP="00F247BB">
      <w:r>
        <w:t>Op verzoek heeft de XpertDesk in het verleden wettelijke taken omgezet naar andere taaksoorten, zodat beheerders deze taken aan konden passen. We willen de beheerder hier zelf in ondersteunen.</w:t>
      </w:r>
    </w:p>
    <w:p w14:paraId="24E4A169" w14:textId="77777777" w:rsidR="00012ED1" w:rsidRDefault="00012ED1" w:rsidP="00012ED1">
      <w:r w:rsidRPr="00554BF4">
        <w:rPr>
          <w:noProof/>
        </w:rPr>
        <w:drawing>
          <wp:inline distT="0" distB="0" distL="0" distR="0" wp14:anchorId="106BE941" wp14:editId="16E01258">
            <wp:extent cx="5731510" cy="2198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98370"/>
                    </a:xfrm>
                    <a:prstGeom prst="rect">
                      <a:avLst/>
                    </a:prstGeom>
                  </pic:spPr>
                </pic:pic>
              </a:graphicData>
            </a:graphic>
          </wp:inline>
        </w:drawing>
      </w:r>
    </w:p>
    <w:p w14:paraId="7210FAA1" w14:textId="2799FD8F" w:rsidR="00012ED1" w:rsidRDefault="00012ED1" w:rsidP="00012ED1">
      <w:r>
        <w:t>Het wordt mogelijk om</w:t>
      </w:r>
      <w:r w:rsidR="00DD722E">
        <w:t>,</w:t>
      </w:r>
      <w:r>
        <w:t xml:space="preserve"> </w:t>
      </w:r>
      <w:r w:rsidR="00F75D0C">
        <w:t>op basis van een nieuwe autorisatie</w:t>
      </w:r>
      <w:r w:rsidR="00137746">
        <w:t xml:space="preserve"> “Mag niet bewerkbare taken wijzigen”, </w:t>
      </w:r>
      <w:r w:rsidR="00ED0EB3">
        <w:t>taken die in het verleden niet te beheren waren, te wijzigen</w:t>
      </w:r>
      <w:r w:rsidR="009C716A">
        <w:t xml:space="preserve"> naar een taaksoort die wel bewerkbaar is.</w:t>
      </w:r>
    </w:p>
    <w:p w14:paraId="0AFFB200" w14:textId="52D85C88" w:rsidR="00BE05CE" w:rsidRDefault="00D634BA" w:rsidP="00BE05CE">
      <w:pPr>
        <w:pStyle w:val="Kop4"/>
      </w:pPr>
      <w:bookmarkStart w:id="12" w:name="_Toc119591151"/>
      <w:r>
        <w:lastRenderedPageBreak/>
        <w:t>Taakcode toekennen</w:t>
      </w:r>
      <w:bookmarkEnd w:id="12"/>
    </w:p>
    <w:p w14:paraId="4BEE699A" w14:textId="0143E2E3" w:rsidR="00012ED1" w:rsidRDefault="00D634BA" w:rsidP="62ECF9B8">
      <w:pPr>
        <w:keepNext/>
      </w:pPr>
      <w:r w:rsidRPr="00D634BA">
        <w:rPr>
          <w:noProof/>
        </w:rPr>
        <w:drawing>
          <wp:inline distT="0" distB="0" distL="0" distR="0" wp14:anchorId="2463DED5" wp14:editId="6133DD22">
            <wp:extent cx="5731510" cy="29190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19095"/>
                    </a:xfrm>
                    <a:prstGeom prst="rect">
                      <a:avLst/>
                    </a:prstGeom>
                  </pic:spPr>
                </pic:pic>
              </a:graphicData>
            </a:graphic>
          </wp:inline>
        </w:drawing>
      </w:r>
    </w:p>
    <w:p w14:paraId="1DBD9674" w14:textId="568920ED" w:rsidR="00D634BA" w:rsidRDefault="00D634BA" w:rsidP="62ECF9B8">
      <w:pPr>
        <w:keepNext/>
      </w:pPr>
      <w:r>
        <w:t>Het eenmalig toekennen van een code aan een taak is vanaf deze release ook mogelijk in het nieuwe beheer</w:t>
      </w:r>
      <w:r w:rsidR="00114E1F">
        <w:t xml:space="preserve"> door op de knop Code toekennen te klikken. Wanneer een taak een code heeft, is dit zichtbaa</w:t>
      </w:r>
      <w:r w:rsidR="00F716EA">
        <w:t>r in het overzichtscherm van de taak:</w:t>
      </w:r>
    </w:p>
    <w:p w14:paraId="2B1D3D81" w14:textId="365C2354" w:rsidR="00D634BA" w:rsidRDefault="00114E1F" w:rsidP="62ECF9B8">
      <w:pPr>
        <w:keepNext/>
      </w:pPr>
      <w:r w:rsidRPr="00114E1F">
        <w:rPr>
          <w:noProof/>
        </w:rPr>
        <w:drawing>
          <wp:inline distT="0" distB="0" distL="0" distR="0" wp14:anchorId="07C40F28" wp14:editId="07862982">
            <wp:extent cx="3296110" cy="10288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6110" cy="1028844"/>
                    </a:xfrm>
                    <a:prstGeom prst="rect">
                      <a:avLst/>
                    </a:prstGeom>
                  </pic:spPr>
                </pic:pic>
              </a:graphicData>
            </a:graphic>
          </wp:inline>
        </w:drawing>
      </w:r>
    </w:p>
    <w:p w14:paraId="40CB1641" w14:textId="1FC2A2E7" w:rsidR="00301EA0" w:rsidRDefault="00301EA0" w:rsidP="62ECF9B8">
      <w:pPr>
        <w:keepNext/>
      </w:pPr>
      <w:bookmarkStart w:id="13" w:name="_Widgets_frequent_en"/>
      <w:bookmarkEnd w:id="13"/>
      <w:r>
        <w:t xml:space="preserve">Deze taakcodes zijn </w:t>
      </w:r>
      <w:r w:rsidR="00D93E26">
        <w:t>bijna altijd</w:t>
      </w:r>
      <w:r>
        <w:t xml:space="preserve"> optioneel, en worden voornamelijk gebruikt voor technische </w:t>
      </w:r>
      <w:r w:rsidR="00D93E26">
        <w:t>oplossingen in samenwerking met andere functionaliteit.</w:t>
      </w:r>
    </w:p>
    <w:p w14:paraId="61D6E5D6" w14:textId="77777777" w:rsidR="00536499" w:rsidRPr="00BD693E" w:rsidRDefault="00536499" w:rsidP="00BD693E"/>
    <w:p w14:paraId="14F89DEE" w14:textId="5D8120DC" w:rsidR="00826FBA" w:rsidRPr="00826FBA" w:rsidRDefault="00B5699B" w:rsidP="00826FBA">
      <w:pPr>
        <w:pStyle w:val="Kop1"/>
      </w:pPr>
      <w:bookmarkStart w:id="14" w:name="_Toc119591152"/>
      <w:r>
        <w:t>Modules</w:t>
      </w:r>
      <w:bookmarkEnd w:id="14"/>
      <w:r w:rsidR="005B6063">
        <w:t xml:space="preserve"> </w:t>
      </w:r>
      <w:bookmarkStart w:id="15" w:name="_Verwijderen_van_gebruiker"/>
      <w:bookmarkEnd w:id="15"/>
    </w:p>
    <w:p w14:paraId="5533EE25" w14:textId="0859B61E" w:rsidR="00C50C46" w:rsidRDefault="00B5699B" w:rsidP="00C50C46">
      <w:pPr>
        <w:pStyle w:val="Kop2"/>
      </w:pPr>
      <w:bookmarkStart w:id="16" w:name="_Toc119591153"/>
      <w:r>
        <w:t>Contractmanagement</w:t>
      </w:r>
      <w:bookmarkEnd w:id="16"/>
    </w:p>
    <w:p w14:paraId="772CF432" w14:textId="716375FF" w:rsidR="00572638" w:rsidRPr="00D06587" w:rsidRDefault="00572638" w:rsidP="00572638">
      <w:pPr>
        <w:pStyle w:val="Kop3"/>
      </w:pPr>
      <w:bookmarkStart w:id="17" w:name="_Toc119591154"/>
      <w:bookmarkStart w:id="18" w:name="_Hlk118298619"/>
      <w:r w:rsidRPr="00D06587">
        <w:t>Standaard uitvoeringsduur</w:t>
      </w:r>
      <w:r>
        <w:t xml:space="preserve"> taken, spreekuren en opdrachtsoorten opslaan bij verrichtingen en tonen in verrichtingenoverzicht en export (Normtijden)</w:t>
      </w:r>
      <w:bookmarkEnd w:id="17"/>
    </w:p>
    <w:p w14:paraId="12A110D6" w14:textId="6795D51A" w:rsidR="00572638" w:rsidRDefault="00572638" w:rsidP="00572638">
      <w:pPr>
        <w:rPr>
          <w:u w:val="single"/>
        </w:rPr>
      </w:pPr>
      <w:r w:rsidRPr="00A845A7">
        <w:rPr>
          <w:u w:val="single"/>
        </w:rPr>
        <w:t>Waarom deze wijzigingen?</w:t>
      </w:r>
    </w:p>
    <w:p w14:paraId="480FA028" w14:textId="610685BE" w:rsidR="00572638" w:rsidRDefault="00572638" w:rsidP="00572638">
      <w:r w:rsidRPr="00F16E50">
        <w:t xml:space="preserve">Voor klanten die gebruik maken van de contractmanagement module voor het factureren van uitgevoerde </w:t>
      </w:r>
      <w:r>
        <w:t>werkzaamheden op basis van uitvoeringsduur, is in de vorige release</w:t>
      </w:r>
      <w:r w:rsidR="00B06680">
        <w:t>,</w:t>
      </w:r>
      <w:r>
        <w:t xml:space="preserve"> 7.37</w:t>
      </w:r>
      <w:r w:rsidR="00B06680">
        <w:t>,</w:t>
      </w:r>
      <w:r>
        <w:t xml:space="preserve"> het schrijven van verrichtingen verbeterd. In deze release 7.38 zijn aanvullende aanpassingen gedaan, waarmee de rapportage mogelijkheden voor contractmanagers zijn uitgebreid. </w:t>
      </w:r>
    </w:p>
    <w:p w14:paraId="1A800423" w14:textId="77777777" w:rsidR="00572638" w:rsidRDefault="00572638" w:rsidP="00E66A53">
      <w:pPr>
        <w:pStyle w:val="Lijstalinea"/>
        <w:numPr>
          <w:ilvl w:val="0"/>
          <w:numId w:val="42"/>
        </w:numPr>
      </w:pPr>
      <w:r>
        <w:lastRenderedPageBreak/>
        <w:t xml:space="preserve">Bij het schrijven van een verrichting wordt de standaard uitvoeringsduur die van toepassing was op het moment van uitvoeren als ‘Standaard duur’ bij de verrichting opgeslagen. De werkelijke duur wordt ook nog steeds opgeslagen als ‘(Werkelijke) Duur’. </w:t>
      </w:r>
    </w:p>
    <w:p w14:paraId="3C2B71E1" w14:textId="01986A59" w:rsidR="00572638" w:rsidRDefault="007D766E" w:rsidP="00E66A53">
      <w:pPr>
        <w:pStyle w:val="Lijstalinea"/>
        <w:numPr>
          <w:ilvl w:val="0"/>
          <w:numId w:val="42"/>
        </w:numPr>
      </w:pPr>
      <w:r>
        <w:t>Al</w:t>
      </w:r>
      <w:r w:rsidR="00572638">
        <w:t xml:space="preserve"> bestaande geschreven verrichtingen zijn geconverteerd waarmee ook deze voorzien zijn van de standaard duur</w:t>
      </w:r>
      <w:r w:rsidR="00572638" w:rsidRPr="00C5376F">
        <w:t xml:space="preserve"> </w:t>
      </w:r>
      <w:r w:rsidR="00572638">
        <w:t>die van toepassing was op het moment van uitvoeren.</w:t>
      </w:r>
    </w:p>
    <w:p w14:paraId="69BCA34C" w14:textId="77777777" w:rsidR="00572638" w:rsidRDefault="00572638" w:rsidP="00E66A53">
      <w:pPr>
        <w:pStyle w:val="Lijstalinea"/>
        <w:numPr>
          <w:ilvl w:val="0"/>
          <w:numId w:val="42"/>
        </w:numPr>
      </w:pPr>
      <w:r>
        <w:t>In het scherm verrichtingen overzicht is een kolom ‘Standaard duur’ toegevoegd waarin de standaard duur die opgeslagen is bij de verrichting getoond wordt. Ook de Excel-export is hiervoor aangepast.</w:t>
      </w:r>
    </w:p>
    <w:p w14:paraId="04D17D4B" w14:textId="2C1E2A4F" w:rsidR="00572638" w:rsidRDefault="00572638" w:rsidP="00572638">
      <w:r>
        <w:t xml:space="preserve">In de vorige release 7.37 was </w:t>
      </w:r>
      <w:r w:rsidR="007D766E">
        <w:t>al</w:t>
      </w:r>
      <w:r>
        <w:t xml:space="preserve"> toegevoegd:</w:t>
      </w:r>
    </w:p>
    <w:p w14:paraId="73C06230" w14:textId="77777777" w:rsidR="00572638" w:rsidRDefault="00572638" w:rsidP="00E66A53">
      <w:pPr>
        <w:pStyle w:val="Lijstalinea"/>
        <w:numPr>
          <w:ilvl w:val="0"/>
          <w:numId w:val="41"/>
        </w:numPr>
      </w:pPr>
      <w:r>
        <w:t>Taakbeheer was uitgebreid met het veld gemiddelde uitvoeringsduur</w:t>
      </w:r>
    </w:p>
    <w:p w14:paraId="3683B144" w14:textId="77777777" w:rsidR="00572638" w:rsidRDefault="00572638" w:rsidP="00E66A53">
      <w:pPr>
        <w:pStyle w:val="Lijstalinea"/>
        <w:numPr>
          <w:ilvl w:val="0"/>
          <w:numId w:val="41"/>
        </w:numPr>
      </w:pPr>
      <w:r>
        <w:t>Opdrachtsoortbeheer was uitgebreid met het veld gemiddelde uitvoeringsduur</w:t>
      </w:r>
    </w:p>
    <w:p w14:paraId="753451D8" w14:textId="77777777" w:rsidR="00572638" w:rsidRDefault="00572638" w:rsidP="00E66A53">
      <w:pPr>
        <w:pStyle w:val="Lijstalinea"/>
        <w:numPr>
          <w:ilvl w:val="0"/>
          <w:numId w:val="41"/>
        </w:numPr>
      </w:pPr>
      <w:r>
        <w:t>Verrichting schrijven scherm voor taken &amp; opdrachtsoorten was aangepast, zodat het veld ‘Duur’ voor ingevuld wordt met de gemiddelde uitvoeringsduur van de taak of de opdracht indien beschikbaar en anders wordt deze voor ingevuld met de normtijd van de prijscategorie.</w:t>
      </w:r>
    </w:p>
    <w:p w14:paraId="4CAB53CA" w14:textId="77777777" w:rsidR="0037593B" w:rsidRPr="0037593B" w:rsidRDefault="0037593B" w:rsidP="00572638"/>
    <w:p w14:paraId="7334CAFE" w14:textId="7A1D2F45" w:rsidR="00572638" w:rsidRDefault="00572638" w:rsidP="00572638">
      <w:pPr>
        <w:rPr>
          <w:u w:val="single"/>
        </w:rPr>
      </w:pPr>
      <w:r>
        <w:rPr>
          <w:u w:val="single"/>
        </w:rPr>
        <w:t>Wat is er gewijzigd?</w:t>
      </w:r>
    </w:p>
    <w:p w14:paraId="4B5C7878" w14:textId="77777777" w:rsidR="00572638" w:rsidRDefault="00572638" w:rsidP="00572638">
      <w:pPr>
        <w:rPr>
          <w:b/>
          <w:bCs/>
        </w:rPr>
      </w:pPr>
      <w:r w:rsidRPr="00E918CA">
        <w:rPr>
          <w:b/>
          <w:bCs/>
        </w:rPr>
        <w:t>Voor gebruikers</w:t>
      </w:r>
    </w:p>
    <w:p w14:paraId="358679B9" w14:textId="4841873A" w:rsidR="00572638" w:rsidRPr="009A051D" w:rsidRDefault="00572638" w:rsidP="00572638">
      <w:r w:rsidRPr="009A051D">
        <w:t xml:space="preserve">Vanaf de vorige release 7.37 wordt voor gebruikers bij het tijdschrijven de gemiddelde uitvoeringsduur van een taak of opdrachtsoort automatisch voor gevuld in de duur van een verrichting. De gebruiker kan deze indien nodig aanpassen als de uitvoeringstijd korter of langer was. In deze release </w:t>
      </w:r>
      <w:r>
        <w:t>zijn er</w:t>
      </w:r>
      <w:r w:rsidRPr="009A051D">
        <w:t xml:space="preserve"> voor gebruikers </w:t>
      </w:r>
      <w:r>
        <w:t>geen</w:t>
      </w:r>
      <w:r w:rsidRPr="009A051D">
        <w:t xml:space="preserve"> aanvullend</w:t>
      </w:r>
      <w:r>
        <w:t>e wijzigingen</w:t>
      </w:r>
      <w:r w:rsidRPr="009A051D">
        <w:t>.</w:t>
      </w:r>
    </w:p>
    <w:p w14:paraId="032449E1" w14:textId="77777777" w:rsidR="00572638" w:rsidRDefault="00572638" w:rsidP="00572638">
      <w:pPr>
        <w:rPr>
          <w:b/>
          <w:bCs/>
        </w:rPr>
      </w:pPr>
    </w:p>
    <w:p w14:paraId="02F877CA" w14:textId="6FC56799" w:rsidR="00572638" w:rsidRDefault="00572638" w:rsidP="00572638">
      <w:pPr>
        <w:rPr>
          <w:b/>
          <w:bCs/>
        </w:rPr>
      </w:pPr>
      <w:r>
        <w:rPr>
          <w:b/>
          <w:bCs/>
        </w:rPr>
        <w:t>Voor beheerders</w:t>
      </w:r>
    </w:p>
    <w:p w14:paraId="11184219" w14:textId="4D72690A" w:rsidR="00572638" w:rsidRPr="009A051D" w:rsidRDefault="00572638" w:rsidP="00572638">
      <w:r w:rsidRPr="009A051D">
        <w:t xml:space="preserve">Vanaf de vorige release 7.37 </w:t>
      </w:r>
      <w:r>
        <w:t xml:space="preserve">kunnen beheerders in het </w:t>
      </w:r>
      <w:r w:rsidRPr="00E918CA">
        <w:t xml:space="preserve">nieuwe taakbeheer en in het opdrachtsoortbeheer de standaard uitvoeringsduur beheren. </w:t>
      </w:r>
      <w:r w:rsidRPr="009A051D">
        <w:t xml:space="preserve"> In deze release </w:t>
      </w:r>
      <w:r>
        <w:t>zijn</w:t>
      </w:r>
      <w:r w:rsidRPr="009A051D">
        <w:t xml:space="preserve"> er voor </w:t>
      </w:r>
      <w:r>
        <w:t>beheerders</w:t>
      </w:r>
      <w:r w:rsidRPr="009A051D">
        <w:t xml:space="preserve"> </w:t>
      </w:r>
      <w:r>
        <w:t>geen</w:t>
      </w:r>
      <w:r w:rsidRPr="009A051D">
        <w:t xml:space="preserve"> aanvullend</w:t>
      </w:r>
      <w:r>
        <w:t>e wijzigingen</w:t>
      </w:r>
      <w:r w:rsidRPr="009A051D">
        <w:t>.</w:t>
      </w:r>
    </w:p>
    <w:p w14:paraId="6AAC7806" w14:textId="77777777" w:rsidR="00572638" w:rsidRDefault="00572638" w:rsidP="00572638">
      <w:pPr>
        <w:rPr>
          <w:b/>
          <w:bCs/>
        </w:rPr>
      </w:pPr>
      <w:r>
        <w:rPr>
          <w:b/>
          <w:bCs/>
        </w:rPr>
        <w:br w:type="page"/>
      </w:r>
    </w:p>
    <w:p w14:paraId="75855ED6" w14:textId="77777777" w:rsidR="00572638" w:rsidRPr="00E918CA" w:rsidRDefault="00572638" w:rsidP="00572638">
      <w:pPr>
        <w:rPr>
          <w:b/>
          <w:bCs/>
        </w:rPr>
      </w:pPr>
      <w:r w:rsidRPr="00E918CA">
        <w:rPr>
          <w:b/>
          <w:bCs/>
        </w:rPr>
        <w:lastRenderedPageBreak/>
        <w:t>Voor contractmanagers</w:t>
      </w:r>
    </w:p>
    <w:p w14:paraId="18941DB9" w14:textId="63BA519C" w:rsidR="00572638" w:rsidRDefault="00572638" w:rsidP="00572638">
      <w:r>
        <w:t>In deze release zijn voor contractmanagers nieuwe rapportage mogelijkheden gerealiseerd. De nieuw toegevoegde kolom ‘Standaard Duur’ in het verrichtingen overzicht toont de standaard uitvoeringsduur op het moment van uitvoeren van de taak, het spreekuur of de opdrachtsoort. De bestaande kolom ‘Werkelijke Duur’ toont de tijd die werkelijk geschreven is voor de verrichting.</w:t>
      </w:r>
    </w:p>
    <w:p w14:paraId="77E7F0F9" w14:textId="77777777" w:rsidR="00572638" w:rsidRDefault="00572638" w:rsidP="00572638"/>
    <w:p w14:paraId="0544FDEE" w14:textId="77777777" w:rsidR="00572638" w:rsidRDefault="00572638" w:rsidP="00572638">
      <w:r>
        <w:rPr>
          <w:noProof/>
        </w:rPr>
        <w:drawing>
          <wp:inline distT="0" distB="0" distL="0" distR="0" wp14:anchorId="6A886B8A" wp14:editId="0E927B0E">
            <wp:extent cx="4980305" cy="1552529"/>
            <wp:effectExtent l="19050" t="19050" r="10795" b="1016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6" cstate="print">
                      <a:extLst>
                        <a:ext uri="{28A0092B-C50C-407E-A947-70E740481C1C}">
                          <a14:useLocalDpi xmlns:a14="http://schemas.microsoft.com/office/drawing/2010/main" val="0"/>
                        </a:ext>
                      </a:extLst>
                    </a:blip>
                    <a:srcRect l="1321" t="-1" b="59229"/>
                    <a:stretch/>
                  </pic:blipFill>
                  <pic:spPr bwMode="auto">
                    <a:xfrm>
                      <a:off x="0" y="0"/>
                      <a:ext cx="4998492" cy="155819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AA9267" w14:textId="77777777" w:rsidR="00572638" w:rsidRDefault="00572638" w:rsidP="00572638"/>
    <w:p w14:paraId="42CE3E05" w14:textId="77777777" w:rsidR="00572638" w:rsidRDefault="00572638" w:rsidP="00572638">
      <w:r>
        <w:rPr>
          <w:noProof/>
        </w:rPr>
        <w:drawing>
          <wp:inline distT="0" distB="0" distL="0" distR="0" wp14:anchorId="24878D79" wp14:editId="7F4B1612">
            <wp:extent cx="5857875" cy="2963545"/>
            <wp:effectExtent l="19050" t="19050" r="28575" b="273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7" cstate="print">
                      <a:extLst>
                        <a:ext uri="{28A0092B-C50C-407E-A947-70E740481C1C}">
                          <a14:useLocalDpi xmlns:a14="http://schemas.microsoft.com/office/drawing/2010/main" val="0"/>
                        </a:ext>
                      </a:extLst>
                    </a:blip>
                    <a:srcRect l="1442"/>
                    <a:stretch/>
                  </pic:blipFill>
                  <pic:spPr bwMode="auto">
                    <a:xfrm>
                      <a:off x="0" y="0"/>
                      <a:ext cx="5857875" cy="296354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D2E263F" w14:textId="77777777" w:rsidR="00572638" w:rsidRDefault="00572638" w:rsidP="00572638">
      <w:r>
        <w:t>Deze kolommen zijn ook beschikbaar in de Excel-export vanuit het verrichtingen overzicht.</w:t>
      </w:r>
    </w:p>
    <w:p w14:paraId="6E7E3652" w14:textId="77777777" w:rsidR="00572638" w:rsidRDefault="00572638" w:rsidP="00572638">
      <w:r>
        <w:rPr>
          <w:noProof/>
        </w:rPr>
        <w:drawing>
          <wp:inline distT="0" distB="0" distL="0" distR="0" wp14:anchorId="7E9ABCCD" wp14:editId="114A05E1">
            <wp:extent cx="5652507" cy="800100"/>
            <wp:effectExtent l="19050" t="19050" r="24765" b="190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8" cstate="print">
                      <a:extLst>
                        <a:ext uri="{28A0092B-C50C-407E-A947-70E740481C1C}">
                          <a14:useLocalDpi xmlns:a14="http://schemas.microsoft.com/office/drawing/2010/main" val="0"/>
                        </a:ext>
                      </a:extLst>
                    </a:blip>
                    <a:srcRect l="40847" r="1" b="19949"/>
                    <a:stretch/>
                  </pic:blipFill>
                  <pic:spPr bwMode="auto">
                    <a:xfrm>
                      <a:off x="0" y="0"/>
                      <a:ext cx="5685263" cy="80473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65389D3" w14:textId="77777777" w:rsidR="00572638" w:rsidRDefault="00572638" w:rsidP="00572638"/>
    <w:p w14:paraId="7AF6D64E" w14:textId="7DD9B6B8" w:rsidR="00572638" w:rsidRDefault="00572638" w:rsidP="00572638">
      <w:r>
        <w:t>De contractmanagers van onze klanten hebben hiermee inzage in de geschreven verrichtingen en de afwijkingen ten opzichte van de gemiddelde duur van taken en opdrachten. Deze informatie kan vervolgens gebruikt worden voor het aanpassen van tarieven &amp; gemiddelde duur enerzijds, maar ook voor het signaleren van kansen voor procesverbeteringen en aanvullend opleiden van medewerkers anderzijds.</w:t>
      </w:r>
      <w:bookmarkEnd w:id="18"/>
    </w:p>
    <w:p w14:paraId="74AC486E" w14:textId="77777777" w:rsidR="000E550B" w:rsidRPr="000E550B" w:rsidRDefault="000E550B" w:rsidP="000E550B"/>
    <w:p w14:paraId="51B3E8FB" w14:textId="77777777" w:rsidR="000B0402" w:rsidRPr="000E550B" w:rsidRDefault="000B0402" w:rsidP="000B0402"/>
    <w:p w14:paraId="3CCE4020" w14:textId="362E96DB" w:rsidR="00BD44E4" w:rsidRPr="000E550B" w:rsidRDefault="00BD44E4" w:rsidP="000B0402">
      <w:pPr>
        <w:pStyle w:val="Kop2"/>
      </w:pPr>
      <w:bookmarkStart w:id="19" w:name="_Toc119591155"/>
      <w:r w:rsidRPr="62ECF9B8">
        <w:rPr>
          <w:rStyle w:val="Subtielebenadrukking"/>
          <w:i w:val="0"/>
          <w:color w:val="auto"/>
        </w:rPr>
        <w:lastRenderedPageBreak/>
        <w:t>Inkomensverzekeringen</w:t>
      </w:r>
      <w:bookmarkEnd w:id="19"/>
    </w:p>
    <w:p w14:paraId="1BF47438" w14:textId="34F0DBB8" w:rsidR="00552801" w:rsidRPr="000E550B" w:rsidRDefault="00552801" w:rsidP="00552801">
      <w:pPr>
        <w:pStyle w:val="Kop3"/>
      </w:pPr>
      <w:bookmarkStart w:id="20" w:name="_Toc119591156"/>
      <w:r>
        <w:t>Performance Schadelast</w:t>
      </w:r>
      <w:bookmarkEnd w:id="20"/>
    </w:p>
    <w:p w14:paraId="0C1B5A2B" w14:textId="77777777" w:rsidR="00552801" w:rsidRPr="000E550B" w:rsidRDefault="00552801" w:rsidP="00552801">
      <w:pPr>
        <w:rPr>
          <w:rFonts w:eastAsia="FuturaBT Light" w:cs="FuturaBT Light"/>
          <w:iCs w:val="0"/>
          <w:color w:val="000000" w:themeColor="text1"/>
        </w:rPr>
      </w:pPr>
      <w:r w:rsidRPr="62ECF9B8">
        <w:rPr>
          <w:rFonts w:eastAsia="FuturaBT Light" w:cs="FuturaBT Light"/>
          <w:iCs w:val="0"/>
          <w:color w:val="000000" w:themeColor="text1"/>
          <w:u w:val="single"/>
        </w:rPr>
        <w:t>Waarom deze wijziging?</w:t>
      </w:r>
    </w:p>
    <w:p w14:paraId="105EE496" w14:textId="731757A5" w:rsidR="00552801" w:rsidRPr="000E550B" w:rsidRDefault="00674B99" w:rsidP="00552801">
      <w:pPr>
        <w:rPr>
          <w:rFonts w:eastAsia="FuturaBT Light" w:cs="FuturaBT Light"/>
          <w:iCs w:val="0"/>
          <w:color w:val="000000" w:themeColor="text1"/>
        </w:rPr>
      </w:pPr>
      <w:r>
        <w:rPr>
          <w:rFonts w:eastAsia="FuturaBT Light" w:cs="FuturaBT Light"/>
          <w:color w:val="000000" w:themeColor="text1"/>
        </w:rPr>
        <w:t xml:space="preserve">Intussen kan </w:t>
      </w:r>
      <w:r w:rsidR="00074AE5">
        <w:rPr>
          <w:rFonts w:eastAsia="FuturaBT Light" w:cs="FuturaBT Light"/>
          <w:color w:val="000000" w:themeColor="text1"/>
        </w:rPr>
        <w:t>de</w:t>
      </w:r>
      <w:r>
        <w:rPr>
          <w:rFonts w:eastAsia="FuturaBT Light" w:cs="FuturaBT Light"/>
          <w:color w:val="000000" w:themeColor="text1"/>
        </w:rPr>
        <w:t xml:space="preserve"> verwerking van de signalering op de eerste van de maand enige tijd duren.</w:t>
      </w:r>
      <w:r w:rsidR="005F7FB4">
        <w:rPr>
          <w:rFonts w:eastAsia="FuturaBT Light" w:cs="FuturaBT Light"/>
          <w:color w:val="000000" w:themeColor="text1"/>
        </w:rPr>
        <w:t xml:space="preserve"> Per opvolgende maand is de verwachting dat er weer meer claimtrajecten zijn om te verwerken waardoor dit proces steeds langer gaat duren. </w:t>
      </w:r>
      <w:r w:rsidR="005A078F">
        <w:rPr>
          <w:rFonts w:eastAsia="FuturaBT Light" w:cs="FuturaBT Light"/>
          <w:color w:val="000000" w:themeColor="text1"/>
        </w:rPr>
        <w:t>De verwerking van claims wacht op het voltooien van de signalering, wat beteken</w:t>
      </w:r>
      <w:r w:rsidR="003E7E71">
        <w:rPr>
          <w:rFonts w:eastAsia="FuturaBT Light" w:cs="FuturaBT Light"/>
          <w:color w:val="000000" w:themeColor="text1"/>
        </w:rPr>
        <w:t>t</w:t>
      </w:r>
      <w:r w:rsidR="005A078F">
        <w:rPr>
          <w:rFonts w:eastAsia="FuturaBT Light" w:cs="FuturaBT Light"/>
          <w:color w:val="000000" w:themeColor="text1"/>
        </w:rPr>
        <w:t xml:space="preserve"> dat claim</w:t>
      </w:r>
      <w:r w:rsidR="005C1A28">
        <w:rPr>
          <w:rFonts w:eastAsia="FuturaBT Light" w:cs="FuturaBT Light"/>
          <w:color w:val="000000" w:themeColor="text1"/>
        </w:rPr>
        <w:t xml:space="preserve"> </w:t>
      </w:r>
      <w:r w:rsidR="005A078F">
        <w:rPr>
          <w:rFonts w:eastAsia="FuturaBT Light" w:cs="FuturaBT Light"/>
          <w:color w:val="000000" w:themeColor="text1"/>
        </w:rPr>
        <w:t>afhandelaars/beoordelaars niet direct aan de slag kunnen</w:t>
      </w:r>
      <w:r w:rsidR="00E42EAE">
        <w:rPr>
          <w:rFonts w:eastAsia="FuturaBT Light" w:cs="FuturaBT Light"/>
          <w:color w:val="000000" w:themeColor="text1"/>
        </w:rPr>
        <w:t xml:space="preserve">. </w:t>
      </w:r>
    </w:p>
    <w:p w14:paraId="374258D3" w14:textId="77777777" w:rsidR="00552801" w:rsidRPr="000E550B" w:rsidRDefault="00552801" w:rsidP="00552801">
      <w:pPr>
        <w:rPr>
          <w:rFonts w:eastAsia="FuturaBT Light" w:cs="FuturaBT Light"/>
          <w:iCs w:val="0"/>
          <w:color w:val="000000" w:themeColor="text1"/>
        </w:rPr>
      </w:pPr>
    </w:p>
    <w:p w14:paraId="07565B97" w14:textId="77777777" w:rsidR="00552801" w:rsidRPr="000E550B" w:rsidRDefault="00552801" w:rsidP="00552801">
      <w:pPr>
        <w:rPr>
          <w:rFonts w:eastAsia="FuturaBT Light" w:cs="FuturaBT Light"/>
          <w:iCs w:val="0"/>
          <w:color w:val="000000" w:themeColor="text1"/>
        </w:rPr>
      </w:pPr>
      <w:r w:rsidRPr="62ECF9B8">
        <w:rPr>
          <w:rFonts w:eastAsia="FuturaBT Light" w:cs="FuturaBT Light"/>
          <w:iCs w:val="0"/>
          <w:color w:val="000000" w:themeColor="text1"/>
          <w:u w:val="single"/>
        </w:rPr>
        <w:t>Wat is er gewijzigd?</w:t>
      </w:r>
    </w:p>
    <w:p w14:paraId="345E1EE9" w14:textId="0AED854B" w:rsidR="00BD44E4" w:rsidRPr="000E550B" w:rsidRDefault="009D3A23" w:rsidP="00552801">
      <w:r>
        <w:t>Er zijn verbeteringen aangebracht op he</w:t>
      </w:r>
      <w:r w:rsidR="00F4075A">
        <w:t>t signalering proces</w:t>
      </w:r>
      <w:r w:rsidR="00B0548C">
        <w:t xml:space="preserve"> van schadelast</w:t>
      </w:r>
      <w:r w:rsidR="00F4075A">
        <w:t>.</w:t>
      </w:r>
      <w:r w:rsidR="00B0548C">
        <w:t xml:space="preserve"> </w:t>
      </w:r>
      <w:r w:rsidR="00ED6117">
        <w:t>D</w:t>
      </w:r>
      <w:r w:rsidR="0062645F">
        <w:t xml:space="preserve">e verwerking </w:t>
      </w:r>
      <w:r w:rsidR="00551718">
        <w:t xml:space="preserve">van de signalering </w:t>
      </w:r>
      <w:r w:rsidR="00ED6117">
        <w:t xml:space="preserve">is ruwweg 60x sneller geworden, </w:t>
      </w:r>
      <w:r w:rsidR="00C76574">
        <w:t xml:space="preserve">wat </w:t>
      </w:r>
      <w:r w:rsidR="00551718">
        <w:t xml:space="preserve">ervoor zorgt dat het proces wat voorheen </w:t>
      </w:r>
      <w:r w:rsidR="00C76574">
        <w:t xml:space="preserve">uren </w:t>
      </w:r>
      <w:r w:rsidR="00551718">
        <w:t xml:space="preserve">kon duren </w:t>
      </w:r>
      <w:r w:rsidR="006E712A">
        <w:t xml:space="preserve">nu </w:t>
      </w:r>
      <w:r w:rsidR="00C76574">
        <w:t xml:space="preserve">in minuten </w:t>
      </w:r>
      <w:r w:rsidR="006E712A">
        <w:t>voltooid wordt</w:t>
      </w:r>
      <w:r w:rsidR="00C76574">
        <w:t xml:space="preserve">. </w:t>
      </w:r>
      <w:r w:rsidR="00551718">
        <w:t>Hierdoor kunnen</w:t>
      </w:r>
      <w:r w:rsidR="00F232A4">
        <w:t xml:space="preserve"> </w:t>
      </w:r>
      <w:r w:rsidR="00C76574">
        <w:t xml:space="preserve">gebruikers direct de eerste van de maand met de schadelast claims aan de slag. </w:t>
      </w:r>
    </w:p>
    <w:p w14:paraId="0AEB7345" w14:textId="506B7DDC" w:rsidR="00BD44E4" w:rsidRPr="000E550B" w:rsidRDefault="00BD44E4" w:rsidP="00BD44E4">
      <w:pPr>
        <w:pStyle w:val="Kop2"/>
      </w:pPr>
      <w:bookmarkStart w:id="21" w:name="_Toc119591157"/>
      <w:r>
        <w:t>Providerboog</w:t>
      </w:r>
      <w:bookmarkEnd w:id="21"/>
    </w:p>
    <w:p w14:paraId="2CFF613B" w14:textId="76F3A841" w:rsidR="00BD44E4" w:rsidRPr="000E550B" w:rsidRDefault="2552CDCA" w:rsidP="62ECF9B8">
      <w:pPr>
        <w:pStyle w:val="Kop3"/>
      </w:pPr>
      <w:bookmarkStart w:id="22" w:name="_Toc119591158"/>
      <w:r w:rsidRPr="62ECF9B8">
        <w:t>Trigger op basis van provider en programma (trigger</w:t>
      </w:r>
      <w:r w:rsidR="002C1A9E">
        <w:t>s</w:t>
      </w:r>
      <w:r w:rsidRPr="62ECF9B8">
        <w:t>)</w:t>
      </w:r>
      <w:bookmarkEnd w:id="22"/>
      <w:r w:rsidRPr="62ECF9B8">
        <w:t xml:space="preserve"> </w:t>
      </w:r>
    </w:p>
    <w:p w14:paraId="611F114B" w14:textId="115707B9" w:rsidR="00BD44E4" w:rsidRPr="000E550B" w:rsidRDefault="2552CDCA" w:rsidP="62ECF9B8">
      <w:pPr>
        <w:rPr>
          <w:rFonts w:eastAsia="FuturaBT Light" w:cs="FuturaBT Light"/>
          <w:iCs w:val="0"/>
          <w:color w:val="000000" w:themeColor="text1"/>
        </w:rPr>
      </w:pPr>
      <w:r w:rsidRPr="62ECF9B8">
        <w:rPr>
          <w:rFonts w:eastAsia="FuturaBT Light" w:cs="FuturaBT Light"/>
          <w:iCs w:val="0"/>
          <w:color w:val="000000" w:themeColor="text1"/>
          <w:u w:val="single"/>
        </w:rPr>
        <w:t>Waarom deze wijziging?</w:t>
      </w:r>
    </w:p>
    <w:p w14:paraId="4A9A3E5E" w14:textId="58B7262A" w:rsidR="00BD44E4" w:rsidRPr="000E550B" w:rsidRDefault="50E78DD1" w:rsidP="62ECF9B8">
      <w:pPr>
        <w:rPr>
          <w:rFonts w:eastAsia="FuturaBT Light" w:cs="FuturaBT Light"/>
          <w:iCs w:val="0"/>
          <w:color w:val="000000" w:themeColor="text1"/>
        </w:rPr>
      </w:pPr>
      <w:r w:rsidRPr="62ECF9B8">
        <w:rPr>
          <w:rFonts w:eastAsia="FuturaBT Light" w:cs="FuturaBT Light"/>
          <w:color w:val="000000" w:themeColor="text1"/>
        </w:rPr>
        <w:t xml:space="preserve">Wanneer er een interventietraject loopt bij een werknemer kunnen er verscheidene programma's gestart worden. Deze worden aangeboden door </w:t>
      </w:r>
      <w:r w:rsidR="5EE58A2E" w:rsidRPr="62ECF9B8">
        <w:rPr>
          <w:rFonts w:eastAsia="FuturaBT Light" w:cs="FuturaBT Light"/>
          <w:color w:val="000000" w:themeColor="text1"/>
        </w:rPr>
        <w:t>providers</w:t>
      </w:r>
      <w:r w:rsidRPr="62ECF9B8">
        <w:rPr>
          <w:rFonts w:eastAsia="FuturaBT Light" w:cs="FuturaBT Light"/>
          <w:color w:val="000000" w:themeColor="text1"/>
        </w:rPr>
        <w:t>. Om de workflow van een interventietraject zo dynamisch mogelijk te maken, kan het voorkomen dat op basis van de geselecteerde programma</w:t>
      </w:r>
      <w:r w:rsidR="005D627A">
        <w:rPr>
          <w:rFonts w:eastAsia="FuturaBT Light" w:cs="FuturaBT Light"/>
          <w:color w:val="000000" w:themeColor="text1"/>
        </w:rPr>
        <w:t>’</w:t>
      </w:r>
      <w:r w:rsidRPr="62ECF9B8">
        <w:rPr>
          <w:rFonts w:eastAsia="FuturaBT Light" w:cs="FuturaBT Light"/>
          <w:color w:val="000000" w:themeColor="text1"/>
        </w:rPr>
        <w:t>s/providers specifieke taken gestart moeten worden. Vanaf deze release is het mogelijk om via trigger</w:t>
      </w:r>
      <w:r w:rsidR="00BD57A2">
        <w:rPr>
          <w:rFonts w:eastAsia="FuturaBT Light" w:cs="FuturaBT Light"/>
          <w:color w:val="000000" w:themeColor="text1"/>
        </w:rPr>
        <w:t xml:space="preserve"> beheer</w:t>
      </w:r>
      <w:r w:rsidRPr="62ECF9B8">
        <w:rPr>
          <w:rFonts w:eastAsia="FuturaBT Light" w:cs="FuturaBT Light"/>
          <w:color w:val="000000" w:themeColor="text1"/>
        </w:rPr>
        <w:t xml:space="preserve"> a</w:t>
      </w:r>
      <w:r w:rsidR="005D627A">
        <w:rPr>
          <w:rFonts w:eastAsia="FuturaBT Light" w:cs="FuturaBT Light"/>
          <w:color w:val="000000" w:themeColor="text1"/>
        </w:rPr>
        <w:t>.</w:t>
      </w:r>
      <w:r w:rsidRPr="62ECF9B8">
        <w:rPr>
          <w:rFonts w:eastAsia="FuturaBT Light" w:cs="FuturaBT Light"/>
          <w:color w:val="000000" w:themeColor="text1"/>
        </w:rPr>
        <w:t>d</w:t>
      </w:r>
      <w:r w:rsidR="005D627A">
        <w:rPr>
          <w:rFonts w:eastAsia="FuturaBT Light" w:cs="FuturaBT Light"/>
          <w:color w:val="000000" w:themeColor="text1"/>
        </w:rPr>
        <w:t>.</w:t>
      </w:r>
      <w:r w:rsidRPr="62ECF9B8">
        <w:rPr>
          <w:rFonts w:eastAsia="FuturaBT Light" w:cs="FuturaBT Light"/>
          <w:color w:val="000000" w:themeColor="text1"/>
        </w:rPr>
        <w:t>h</w:t>
      </w:r>
      <w:r w:rsidR="005D627A">
        <w:rPr>
          <w:rFonts w:eastAsia="FuturaBT Light" w:cs="FuturaBT Light"/>
          <w:color w:val="000000" w:themeColor="text1"/>
        </w:rPr>
        <w:t>.</w:t>
      </w:r>
      <w:r w:rsidRPr="62ECF9B8">
        <w:rPr>
          <w:rFonts w:eastAsia="FuturaBT Light" w:cs="FuturaBT Light"/>
          <w:color w:val="000000" w:themeColor="text1"/>
        </w:rPr>
        <w:t>v</w:t>
      </w:r>
      <w:r w:rsidR="005D627A">
        <w:rPr>
          <w:rFonts w:eastAsia="FuturaBT Light" w:cs="FuturaBT Light"/>
          <w:color w:val="000000" w:themeColor="text1"/>
        </w:rPr>
        <w:t>.</w:t>
      </w:r>
      <w:r w:rsidRPr="62ECF9B8">
        <w:rPr>
          <w:rFonts w:eastAsia="FuturaBT Light" w:cs="FuturaBT Light"/>
          <w:color w:val="000000" w:themeColor="text1"/>
        </w:rPr>
        <w:t xml:space="preserve"> een specifiek programma of provider te triggeren.  </w:t>
      </w:r>
    </w:p>
    <w:p w14:paraId="2D027305" w14:textId="5B9E6A9C" w:rsidR="00BD44E4" w:rsidRPr="000E550B" w:rsidRDefault="00BD44E4" w:rsidP="62ECF9B8">
      <w:pPr>
        <w:rPr>
          <w:rFonts w:eastAsia="FuturaBT Light" w:cs="FuturaBT Light"/>
          <w:iCs w:val="0"/>
          <w:color w:val="000000" w:themeColor="text1"/>
        </w:rPr>
      </w:pPr>
    </w:p>
    <w:p w14:paraId="027A464F" w14:textId="7AE9966B" w:rsidR="00BD44E4" w:rsidRPr="000E550B" w:rsidRDefault="2552CDCA" w:rsidP="62ECF9B8">
      <w:pPr>
        <w:rPr>
          <w:rFonts w:eastAsia="FuturaBT Light" w:cs="FuturaBT Light"/>
          <w:iCs w:val="0"/>
          <w:color w:val="000000" w:themeColor="text1"/>
        </w:rPr>
      </w:pPr>
      <w:r w:rsidRPr="62ECF9B8">
        <w:rPr>
          <w:rFonts w:eastAsia="FuturaBT Light" w:cs="FuturaBT Light"/>
          <w:iCs w:val="0"/>
          <w:color w:val="000000" w:themeColor="text1"/>
          <w:u w:val="single"/>
        </w:rPr>
        <w:t>Wat is er gewijzigd?</w:t>
      </w:r>
    </w:p>
    <w:p w14:paraId="157C21BD" w14:textId="794B5658" w:rsidR="00BD44E4" w:rsidRPr="000E550B" w:rsidRDefault="7110E916" w:rsidP="00BD44E4">
      <w:r w:rsidRPr="62ECF9B8">
        <w:rPr>
          <w:rFonts w:eastAsia="FuturaBT Light" w:cs="FuturaBT Light"/>
          <w:color w:val="000000" w:themeColor="text1"/>
        </w:rPr>
        <w:t>Er zijn een tweetal nieuwe triggervoorwaardes toegevoegd. Deze voorwaardes zijn als volgt:</w:t>
      </w:r>
    </w:p>
    <w:p w14:paraId="06B0D61E" w14:textId="5294AA27" w:rsidR="00BD44E4" w:rsidRPr="000E550B" w:rsidRDefault="7110E916" w:rsidP="62ECF9B8">
      <w:pPr>
        <w:pStyle w:val="Lijstalinea"/>
        <w:numPr>
          <w:ilvl w:val="0"/>
          <w:numId w:val="2"/>
        </w:numPr>
      </w:pPr>
      <w:r w:rsidRPr="62ECF9B8">
        <w:t>Traject – is Interventie traject van Provider X</w:t>
      </w:r>
    </w:p>
    <w:p w14:paraId="39C96C12" w14:textId="3CC3A555" w:rsidR="00BD44E4" w:rsidRPr="000E550B" w:rsidRDefault="7110E916" w:rsidP="62ECF9B8">
      <w:pPr>
        <w:pStyle w:val="Lijstalinea"/>
        <w:numPr>
          <w:ilvl w:val="0"/>
          <w:numId w:val="2"/>
        </w:numPr>
      </w:pPr>
      <w:r w:rsidRPr="62ECF9B8">
        <w:t>Traject – is Interventie traject van Programma X</w:t>
      </w:r>
    </w:p>
    <w:p w14:paraId="38E4CCCA" w14:textId="62CB0F6F" w:rsidR="00BD44E4" w:rsidRPr="000E550B" w:rsidRDefault="7110E916" w:rsidP="00BD44E4">
      <w:r w:rsidRPr="62ECF9B8">
        <w:rPr>
          <w:rFonts w:eastAsia="FuturaBT Light" w:cs="FuturaBT Light"/>
          <w:color w:val="000000" w:themeColor="text1"/>
        </w:rPr>
        <w:t>Voor beide geld</w:t>
      </w:r>
      <w:r w:rsidR="009C1B02">
        <w:rPr>
          <w:rFonts w:eastAsia="FuturaBT Light" w:cs="FuturaBT Light"/>
          <w:color w:val="000000" w:themeColor="text1"/>
        </w:rPr>
        <w:t>t</w:t>
      </w:r>
      <w:r w:rsidRPr="62ECF9B8">
        <w:rPr>
          <w:rFonts w:eastAsia="FuturaBT Light" w:cs="FuturaBT Light"/>
          <w:color w:val="000000" w:themeColor="text1"/>
        </w:rPr>
        <w:t xml:space="preserve"> dat X het ID van de provider of het programma is. </w:t>
      </w:r>
    </w:p>
    <w:p w14:paraId="498EE0B5" w14:textId="3925B8FA" w:rsidR="00BD44E4" w:rsidRPr="000E550B" w:rsidRDefault="7110E916" w:rsidP="00BD44E4">
      <w:r w:rsidRPr="62ECF9B8">
        <w:rPr>
          <w:rFonts w:eastAsia="FuturaBT Light" w:cs="FuturaBT Light"/>
          <w:color w:val="000000" w:themeColor="text1"/>
        </w:rPr>
        <w:t xml:space="preserve"> </w:t>
      </w:r>
    </w:p>
    <w:p w14:paraId="2ED2BE1A" w14:textId="16213DB7" w:rsidR="00BD44E4" w:rsidRPr="000E550B" w:rsidRDefault="7110E916" w:rsidP="62ECF9B8">
      <w:r>
        <w:rPr>
          <w:noProof/>
        </w:rPr>
        <w:drawing>
          <wp:inline distT="0" distB="0" distL="0" distR="0" wp14:anchorId="21E020FE" wp14:editId="46DC8D43">
            <wp:extent cx="5791200" cy="1109980"/>
            <wp:effectExtent l="0" t="0" r="0" b="0"/>
            <wp:docPr id="1565401144" name="Afbeelding 156540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91200" cy="1109980"/>
                    </a:xfrm>
                    <a:prstGeom prst="rect">
                      <a:avLst/>
                    </a:prstGeom>
                  </pic:spPr>
                </pic:pic>
              </a:graphicData>
            </a:graphic>
          </wp:inline>
        </w:drawing>
      </w:r>
    </w:p>
    <w:p w14:paraId="4D83A04F" w14:textId="3BB52FA8" w:rsidR="00BD44E4" w:rsidRPr="000E550B" w:rsidRDefault="00BD44E4" w:rsidP="62ECF9B8">
      <w:pPr>
        <w:rPr>
          <w:rFonts w:ascii="Segoe UI" w:eastAsia="Segoe UI" w:hAnsi="Segoe UI" w:cs="Segoe UI"/>
          <w:color w:val="000000" w:themeColor="text1"/>
          <w:sz w:val="21"/>
          <w:szCs w:val="21"/>
        </w:rPr>
      </w:pPr>
    </w:p>
    <w:p w14:paraId="48869FE8" w14:textId="7E5783F7" w:rsidR="00BD44E4" w:rsidRPr="000E550B" w:rsidRDefault="00BD44E4" w:rsidP="62ECF9B8">
      <w:pPr>
        <w:rPr>
          <w:rFonts w:eastAsia="FuturaBT Light" w:cs="FuturaBT Light"/>
          <w:iCs w:val="0"/>
          <w:color w:val="000000" w:themeColor="text1"/>
        </w:rPr>
      </w:pPr>
    </w:p>
    <w:p w14:paraId="46C8313F" w14:textId="30E4BDB6" w:rsidR="00BD44E4" w:rsidRPr="000E550B" w:rsidRDefault="00BD44E4" w:rsidP="62ECF9B8"/>
    <w:p w14:paraId="6439D2FA" w14:textId="0ADD47D3" w:rsidR="000E550B" w:rsidRPr="000E550B" w:rsidRDefault="000E550B" w:rsidP="000E550B">
      <w:pPr>
        <w:pStyle w:val="Kop2"/>
      </w:pPr>
      <w:bookmarkStart w:id="23" w:name="_Toc119591159"/>
      <w:r>
        <w:lastRenderedPageBreak/>
        <w:t>Verloning</w:t>
      </w:r>
      <w:bookmarkEnd w:id="23"/>
    </w:p>
    <w:p w14:paraId="7768B8A3" w14:textId="170965BE" w:rsidR="00572638" w:rsidRPr="00D06587" w:rsidRDefault="00572638" w:rsidP="00572638">
      <w:pPr>
        <w:pStyle w:val="Kop3"/>
      </w:pPr>
      <w:bookmarkStart w:id="24" w:name="_Toc119591160"/>
      <w:r>
        <w:t>Oplossing zodat gewerkte dagen &amp; uren bij het vervallen van de ZW-uitkering over een periode verwijderd worden uit het salarispakket</w:t>
      </w:r>
      <w:bookmarkEnd w:id="24"/>
    </w:p>
    <w:p w14:paraId="07804E43" w14:textId="77777777" w:rsidR="00572638" w:rsidRDefault="00572638" w:rsidP="00572638">
      <w:pPr>
        <w:rPr>
          <w:u w:val="single"/>
        </w:rPr>
      </w:pPr>
      <w:r w:rsidRPr="00A845A7">
        <w:rPr>
          <w:u w:val="single"/>
        </w:rPr>
        <w:t xml:space="preserve">Waarom deze wijzigingen? </w:t>
      </w:r>
    </w:p>
    <w:p w14:paraId="60471C5B" w14:textId="1EA1EA94" w:rsidR="00572638" w:rsidRDefault="00572638" w:rsidP="00572638">
      <w:r w:rsidRPr="00F16E50">
        <w:t xml:space="preserve">Voor klanten die gebruik maken van de </w:t>
      </w:r>
      <w:r>
        <w:t>verloning module</w:t>
      </w:r>
      <w:r w:rsidRPr="00F16E50">
        <w:t xml:space="preserve"> voor</w:t>
      </w:r>
      <w:r>
        <w:t xml:space="preserve"> uitbetalen van</w:t>
      </w:r>
      <w:r w:rsidRPr="00F16E50">
        <w:t xml:space="preserve"> </w:t>
      </w:r>
      <w:r>
        <w:t xml:space="preserve">Ziektewetuitkeringen, is een oplossing gerealiseerd voor een probleem waarbij gewerkte </w:t>
      </w:r>
      <w:r w:rsidRPr="00F52D9A">
        <w:t xml:space="preserve">dagen &amp; uren bij het vervallen van de </w:t>
      </w:r>
      <w:r>
        <w:t>ZW-</w:t>
      </w:r>
      <w:r w:rsidRPr="00F52D9A">
        <w:t xml:space="preserve">uitkering over </w:t>
      </w:r>
      <w:r>
        <w:t>een periode niet door de koppeling verwijderd werden</w:t>
      </w:r>
      <w:r w:rsidRPr="00F52D9A">
        <w:t xml:space="preserve"> uit het salarispakket</w:t>
      </w:r>
      <w:r>
        <w:t>.</w:t>
      </w:r>
      <w:r w:rsidRPr="00F52D9A">
        <w:t xml:space="preserve"> </w:t>
      </w:r>
    </w:p>
    <w:p w14:paraId="756ED61A" w14:textId="77777777" w:rsidR="00572638" w:rsidRDefault="00572638" w:rsidP="00572638"/>
    <w:p w14:paraId="2317BBDB" w14:textId="77E4B458" w:rsidR="00572638" w:rsidRDefault="00572638" w:rsidP="00572638">
      <w:r>
        <w:t>Dit probleem trad op in situaties waarbij voor de werknemer al voor 1 of meerdere verloningsperiodes een ZW-uitkering naar het salarispakket was gekoppeld, maar later bl</w:t>
      </w:r>
      <w:r w:rsidR="00EC2A26">
        <w:t>eek</w:t>
      </w:r>
      <w:r>
        <w:t xml:space="preserve"> dat de werknemer geen uitkering behoort te ontvangen in de desbetreffende periodes. Dit komt bijvoorbeeld voor als iemand met terugwerkende kracht hersteld gemeld wordt</w:t>
      </w:r>
      <w:r w:rsidR="00EC2A26">
        <w:t>,</w:t>
      </w:r>
      <w:r>
        <w:t xml:space="preserve"> of als er met terugwerkende kracht geregistreerd wordt dat iemand geen recht heeft op een uitkering.</w:t>
      </w:r>
    </w:p>
    <w:p w14:paraId="3048DCA5" w14:textId="1B1EAB83" w:rsidR="00572638" w:rsidRPr="00572638" w:rsidRDefault="00572638" w:rsidP="00572638">
      <w:pPr>
        <w:rPr>
          <w:i/>
          <w:iCs w:val="0"/>
        </w:rPr>
      </w:pPr>
      <w:r w:rsidRPr="00572638">
        <w:rPr>
          <w:i/>
          <w:iCs w:val="0"/>
        </w:rPr>
        <w:t xml:space="preserve">Opmerking: Dit speelt alleen bij de Ziektewetuitkering. Bij </w:t>
      </w:r>
      <w:r w:rsidR="00270C80">
        <w:rPr>
          <w:i/>
          <w:iCs w:val="0"/>
        </w:rPr>
        <w:t xml:space="preserve">de </w:t>
      </w:r>
      <w:r w:rsidRPr="00572638">
        <w:rPr>
          <w:i/>
          <w:iCs w:val="0"/>
        </w:rPr>
        <w:t>aanvulling Ziektewet worden geen gewerkte dagen</w:t>
      </w:r>
      <w:r w:rsidR="00270C80">
        <w:rPr>
          <w:i/>
          <w:iCs w:val="0"/>
        </w:rPr>
        <w:t xml:space="preserve"> &amp;</w:t>
      </w:r>
      <w:r w:rsidRPr="00572638">
        <w:rPr>
          <w:i/>
          <w:iCs w:val="0"/>
        </w:rPr>
        <w:t xml:space="preserve"> uren gekoppeld naar het salarispakket.</w:t>
      </w:r>
    </w:p>
    <w:p w14:paraId="22BE3AE7" w14:textId="77777777" w:rsidR="00572638" w:rsidRDefault="00572638" w:rsidP="00572638"/>
    <w:p w14:paraId="608E9081" w14:textId="77777777" w:rsidR="00572638" w:rsidRDefault="00572638" w:rsidP="00572638">
      <w:r>
        <w:t>De oplossing zorgt ervoor dat de gewerkte dagen &amp; gewerkte uren van vervallen periodes ook verwijderd worden uit het salarispakket waarmee voor de verloning gekoppeld wordt.</w:t>
      </w:r>
    </w:p>
    <w:p w14:paraId="2D887401" w14:textId="66D711C2" w:rsidR="00B5699B" w:rsidRDefault="00B5699B" w:rsidP="00B5699B"/>
    <w:sectPr w:rsidR="00B5699B" w:rsidSect="00B5092B">
      <w:headerReference w:type="default" r:id="rId20"/>
      <w:footerReference w:type="default" r:id="rId21"/>
      <w:headerReference w:type="first" r:id="rId22"/>
      <w:footerReference w:type="first" r:id="rId2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72FD" w14:textId="77777777" w:rsidR="008314AE" w:rsidRDefault="008314AE" w:rsidP="005419E9">
      <w:pPr>
        <w:spacing w:line="240" w:lineRule="auto"/>
      </w:pPr>
      <w:r>
        <w:separator/>
      </w:r>
    </w:p>
  </w:endnote>
  <w:endnote w:type="continuationSeparator" w:id="0">
    <w:p w14:paraId="66953F0D" w14:textId="77777777" w:rsidR="008314AE" w:rsidRDefault="008314AE" w:rsidP="005419E9">
      <w:pPr>
        <w:spacing w:line="240" w:lineRule="auto"/>
      </w:pPr>
      <w:r>
        <w:continuationSeparator/>
      </w:r>
    </w:p>
  </w:endnote>
  <w:endnote w:type="continuationNotice" w:id="1">
    <w:p w14:paraId="5F36A511" w14:textId="77777777" w:rsidR="008314AE" w:rsidRDefault="00831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FuturaBT Light&quot;,sans-serif">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03BEF4E"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2030F0">
            <w:rPr>
              <w:rStyle w:val="Subtieleverwijzing"/>
              <w:caps w:val="0"/>
              <w:noProof/>
              <w:color w:val="404040" w:themeColor="text1" w:themeTint="BF"/>
              <w:sz w:val="14"/>
              <w:szCs w:val="14"/>
              <w:lang w:val="en-US"/>
            </w:rPr>
            <w:t>Concept release Tallinn FAST.docx</w:t>
          </w:r>
          <w:r w:rsidRPr="007F7B31">
            <w:rPr>
              <w:rStyle w:val="Subtieleverwijzing"/>
              <w:caps w:val="0"/>
              <w:color w:val="404040" w:themeColor="text1" w:themeTint="BF"/>
              <w:sz w:val="14"/>
              <w:szCs w:val="14"/>
            </w:rPr>
            <w:fldChar w:fldCharType="end"/>
          </w:r>
          <w:r w:rsidR="00BD44E4" w:rsidRPr="00BD44E4">
            <w:rPr>
              <w:rStyle w:val="Subtieleverwijzing"/>
              <w:caps w:val="0"/>
              <w:color w:val="404040" w:themeColor="text1" w:themeTint="BF"/>
              <w:sz w:val="14"/>
              <w:szCs w:val="14"/>
              <w:lang w:val="en-US"/>
            </w:rPr>
            <w:t>Mau</w:t>
          </w:r>
          <w:r w:rsidR="00BD44E4">
            <w:rPr>
              <w:rStyle w:val="Subtieleverwijzing"/>
              <w:caps w:val="0"/>
              <w:color w:val="404040" w:themeColor="text1" w:themeTint="BF"/>
              <w:sz w:val="14"/>
              <w:szCs w:val="14"/>
              <w:lang w:val="en-US"/>
            </w:rPr>
            <w:t>chly</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F081" w14:textId="77777777" w:rsidR="008314AE" w:rsidRDefault="008314AE" w:rsidP="005419E9">
      <w:pPr>
        <w:spacing w:line="240" w:lineRule="auto"/>
      </w:pPr>
      <w:r>
        <w:separator/>
      </w:r>
    </w:p>
  </w:footnote>
  <w:footnote w:type="continuationSeparator" w:id="0">
    <w:p w14:paraId="3D371E96" w14:textId="77777777" w:rsidR="008314AE" w:rsidRDefault="008314AE" w:rsidP="005419E9">
      <w:pPr>
        <w:spacing w:line="240" w:lineRule="auto"/>
      </w:pPr>
      <w:r>
        <w:continuationSeparator/>
      </w:r>
    </w:p>
  </w:footnote>
  <w:footnote w:type="continuationNotice" w:id="1">
    <w:p w14:paraId="57B42D7B" w14:textId="77777777" w:rsidR="008314AE" w:rsidRDefault="00831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B1DD4"/>
    <w:multiLevelType w:val="hybridMultilevel"/>
    <w:tmpl w:val="750E0736"/>
    <w:lvl w:ilvl="0" w:tplc="0A26B54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2FDBA"/>
    <w:multiLevelType w:val="hybridMultilevel"/>
    <w:tmpl w:val="8E56ED96"/>
    <w:lvl w:ilvl="0" w:tplc="4A08A882">
      <w:start w:val="1"/>
      <w:numFmt w:val="bullet"/>
      <w:lvlText w:val="-"/>
      <w:lvlJc w:val="left"/>
      <w:pPr>
        <w:ind w:left="720" w:hanging="360"/>
      </w:pPr>
      <w:rPr>
        <w:rFonts w:ascii="&quot;FuturaBT Light&quot;,sans-serif" w:hAnsi="&quot;FuturaBT Light&quot;,sans-serif" w:hint="default"/>
      </w:rPr>
    </w:lvl>
    <w:lvl w:ilvl="1" w:tplc="1AEAEF3C">
      <w:start w:val="1"/>
      <w:numFmt w:val="bullet"/>
      <w:lvlText w:val="o"/>
      <w:lvlJc w:val="left"/>
      <w:pPr>
        <w:ind w:left="1440" w:hanging="360"/>
      </w:pPr>
      <w:rPr>
        <w:rFonts w:ascii="Courier New" w:hAnsi="Courier New" w:hint="default"/>
      </w:rPr>
    </w:lvl>
    <w:lvl w:ilvl="2" w:tplc="829E6154">
      <w:start w:val="1"/>
      <w:numFmt w:val="bullet"/>
      <w:lvlText w:val=""/>
      <w:lvlJc w:val="left"/>
      <w:pPr>
        <w:ind w:left="2160" w:hanging="360"/>
      </w:pPr>
      <w:rPr>
        <w:rFonts w:ascii="Wingdings" w:hAnsi="Wingdings" w:hint="default"/>
      </w:rPr>
    </w:lvl>
    <w:lvl w:ilvl="3" w:tplc="37A8A9C2">
      <w:start w:val="1"/>
      <w:numFmt w:val="bullet"/>
      <w:lvlText w:val=""/>
      <w:lvlJc w:val="left"/>
      <w:pPr>
        <w:ind w:left="2880" w:hanging="360"/>
      </w:pPr>
      <w:rPr>
        <w:rFonts w:ascii="Symbol" w:hAnsi="Symbol" w:hint="default"/>
      </w:rPr>
    </w:lvl>
    <w:lvl w:ilvl="4" w:tplc="E6D28488">
      <w:start w:val="1"/>
      <w:numFmt w:val="bullet"/>
      <w:lvlText w:val="o"/>
      <w:lvlJc w:val="left"/>
      <w:pPr>
        <w:ind w:left="3600" w:hanging="360"/>
      </w:pPr>
      <w:rPr>
        <w:rFonts w:ascii="Courier New" w:hAnsi="Courier New" w:hint="default"/>
      </w:rPr>
    </w:lvl>
    <w:lvl w:ilvl="5" w:tplc="FE5EED6C">
      <w:start w:val="1"/>
      <w:numFmt w:val="bullet"/>
      <w:lvlText w:val=""/>
      <w:lvlJc w:val="left"/>
      <w:pPr>
        <w:ind w:left="4320" w:hanging="360"/>
      </w:pPr>
      <w:rPr>
        <w:rFonts w:ascii="Wingdings" w:hAnsi="Wingdings" w:hint="default"/>
      </w:rPr>
    </w:lvl>
    <w:lvl w:ilvl="6" w:tplc="EFC4F406">
      <w:start w:val="1"/>
      <w:numFmt w:val="bullet"/>
      <w:lvlText w:val=""/>
      <w:lvlJc w:val="left"/>
      <w:pPr>
        <w:ind w:left="5040" w:hanging="360"/>
      </w:pPr>
      <w:rPr>
        <w:rFonts w:ascii="Symbol" w:hAnsi="Symbol" w:hint="default"/>
      </w:rPr>
    </w:lvl>
    <w:lvl w:ilvl="7" w:tplc="4614C248">
      <w:start w:val="1"/>
      <w:numFmt w:val="bullet"/>
      <w:lvlText w:val="o"/>
      <w:lvlJc w:val="left"/>
      <w:pPr>
        <w:ind w:left="5760" w:hanging="360"/>
      </w:pPr>
      <w:rPr>
        <w:rFonts w:ascii="Courier New" w:hAnsi="Courier New" w:hint="default"/>
      </w:rPr>
    </w:lvl>
    <w:lvl w:ilvl="8" w:tplc="EF008D4A">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EB5833"/>
    <w:multiLevelType w:val="hybridMultilevel"/>
    <w:tmpl w:val="A1501D42"/>
    <w:lvl w:ilvl="0" w:tplc="EA8826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9"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A72B62"/>
    <w:multiLevelType w:val="hybridMultilevel"/>
    <w:tmpl w:val="09C403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E32ABA"/>
    <w:multiLevelType w:val="multilevel"/>
    <w:tmpl w:val="ED488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864" w:hanging="86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5C277A"/>
    <w:multiLevelType w:val="hybridMultilevel"/>
    <w:tmpl w:val="B5D66E9A"/>
    <w:lvl w:ilvl="0" w:tplc="76401904">
      <w:start w:val="1"/>
      <w:numFmt w:val="bullet"/>
      <w:lvlText w:val="-"/>
      <w:lvlJc w:val="left"/>
      <w:pPr>
        <w:ind w:left="720" w:hanging="360"/>
      </w:pPr>
      <w:rPr>
        <w:rFonts w:ascii="&quot;FuturaBT Light&quot;,sans-serif" w:hAnsi="&quot;FuturaBT Light&quot;,sans-serif" w:hint="default"/>
      </w:rPr>
    </w:lvl>
    <w:lvl w:ilvl="1" w:tplc="06568ED0">
      <w:start w:val="1"/>
      <w:numFmt w:val="bullet"/>
      <w:lvlText w:val="o"/>
      <w:lvlJc w:val="left"/>
      <w:pPr>
        <w:ind w:left="1440" w:hanging="360"/>
      </w:pPr>
      <w:rPr>
        <w:rFonts w:ascii="Courier New" w:hAnsi="Courier New" w:hint="default"/>
      </w:rPr>
    </w:lvl>
    <w:lvl w:ilvl="2" w:tplc="3524FEAC">
      <w:start w:val="1"/>
      <w:numFmt w:val="bullet"/>
      <w:lvlText w:val=""/>
      <w:lvlJc w:val="left"/>
      <w:pPr>
        <w:ind w:left="2160" w:hanging="360"/>
      </w:pPr>
      <w:rPr>
        <w:rFonts w:ascii="Wingdings" w:hAnsi="Wingdings" w:hint="default"/>
      </w:rPr>
    </w:lvl>
    <w:lvl w:ilvl="3" w:tplc="CE2C0068">
      <w:start w:val="1"/>
      <w:numFmt w:val="bullet"/>
      <w:lvlText w:val=""/>
      <w:lvlJc w:val="left"/>
      <w:pPr>
        <w:ind w:left="2880" w:hanging="360"/>
      </w:pPr>
      <w:rPr>
        <w:rFonts w:ascii="Symbol" w:hAnsi="Symbol" w:hint="default"/>
      </w:rPr>
    </w:lvl>
    <w:lvl w:ilvl="4" w:tplc="0982276A">
      <w:start w:val="1"/>
      <w:numFmt w:val="bullet"/>
      <w:lvlText w:val="o"/>
      <w:lvlJc w:val="left"/>
      <w:pPr>
        <w:ind w:left="3600" w:hanging="360"/>
      </w:pPr>
      <w:rPr>
        <w:rFonts w:ascii="Courier New" w:hAnsi="Courier New" w:hint="default"/>
      </w:rPr>
    </w:lvl>
    <w:lvl w:ilvl="5" w:tplc="8EFCCC9E">
      <w:start w:val="1"/>
      <w:numFmt w:val="bullet"/>
      <w:lvlText w:val=""/>
      <w:lvlJc w:val="left"/>
      <w:pPr>
        <w:ind w:left="4320" w:hanging="360"/>
      </w:pPr>
      <w:rPr>
        <w:rFonts w:ascii="Wingdings" w:hAnsi="Wingdings" w:hint="default"/>
      </w:rPr>
    </w:lvl>
    <w:lvl w:ilvl="6" w:tplc="599880D0">
      <w:start w:val="1"/>
      <w:numFmt w:val="bullet"/>
      <w:lvlText w:val=""/>
      <w:lvlJc w:val="left"/>
      <w:pPr>
        <w:ind w:left="5040" w:hanging="360"/>
      </w:pPr>
      <w:rPr>
        <w:rFonts w:ascii="Symbol" w:hAnsi="Symbol" w:hint="default"/>
      </w:rPr>
    </w:lvl>
    <w:lvl w:ilvl="7" w:tplc="09184024">
      <w:start w:val="1"/>
      <w:numFmt w:val="bullet"/>
      <w:lvlText w:val="o"/>
      <w:lvlJc w:val="left"/>
      <w:pPr>
        <w:ind w:left="5760" w:hanging="360"/>
      </w:pPr>
      <w:rPr>
        <w:rFonts w:ascii="Courier New" w:hAnsi="Courier New" w:hint="default"/>
      </w:rPr>
    </w:lvl>
    <w:lvl w:ilvl="8" w:tplc="F948DDE8">
      <w:start w:val="1"/>
      <w:numFmt w:val="bullet"/>
      <w:lvlText w:val=""/>
      <w:lvlJc w:val="left"/>
      <w:pPr>
        <w:ind w:left="6480" w:hanging="360"/>
      </w:pPr>
      <w:rPr>
        <w:rFonts w:ascii="Wingdings" w:hAnsi="Wingdings" w:hint="default"/>
      </w:rPr>
    </w:lvl>
  </w:abstractNum>
  <w:abstractNum w:abstractNumId="33"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1D139A4"/>
    <w:multiLevelType w:val="hybridMultilevel"/>
    <w:tmpl w:val="EE48E6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3A25A5"/>
    <w:multiLevelType w:val="hybridMultilevel"/>
    <w:tmpl w:val="C220FE6E"/>
    <w:lvl w:ilvl="0" w:tplc="118EB6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0384327">
    <w:abstractNumId w:val="7"/>
  </w:num>
  <w:num w:numId="2" w16cid:durableId="46925910">
    <w:abstractNumId w:val="32"/>
  </w:num>
  <w:num w:numId="3" w16cid:durableId="1689335559">
    <w:abstractNumId w:val="30"/>
  </w:num>
  <w:num w:numId="4" w16cid:durableId="1197620356">
    <w:abstractNumId w:val="21"/>
  </w:num>
  <w:num w:numId="5" w16cid:durableId="1392340848">
    <w:abstractNumId w:val="14"/>
  </w:num>
  <w:num w:numId="6" w16cid:durableId="1863350903">
    <w:abstractNumId w:val="17"/>
  </w:num>
  <w:num w:numId="7" w16cid:durableId="225263579">
    <w:abstractNumId w:val="23"/>
  </w:num>
  <w:num w:numId="8" w16cid:durableId="415710038">
    <w:abstractNumId w:val="1"/>
  </w:num>
  <w:num w:numId="9" w16cid:durableId="16783274">
    <w:abstractNumId w:val="18"/>
  </w:num>
  <w:num w:numId="10" w16cid:durableId="446435300">
    <w:abstractNumId w:val="0"/>
  </w:num>
  <w:num w:numId="11" w16cid:durableId="184053761">
    <w:abstractNumId w:val="9"/>
  </w:num>
  <w:num w:numId="12" w16cid:durableId="2134252756">
    <w:abstractNumId w:val="29"/>
  </w:num>
  <w:num w:numId="13" w16cid:durableId="43985450">
    <w:abstractNumId w:val="5"/>
  </w:num>
  <w:num w:numId="14" w16cid:durableId="160854026">
    <w:abstractNumId w:val="37"/>
  </w:num>
  <w:num w:numId="15" w16cid:durableId="774836258">
    <w:abstractNumId w:val="12"/>
  </w:num>
  <w:num w:numId="16" w16cid:durableId="186719555">
    <w:abstractNumId w:val="20"/>
  </w:num>
  <w:num w:numId="17" w16cid:durableId="617562846">
    <w:abstractNumId w:val="8"/>
  </w:num>
  <w:num w:numId="18" w16cid:durableId="2076858996">
    <w:abstractNumId w:val="33"/>
  </w:num>
  <w:num w:numId="19" w16cid:durableId="1743790882">
    <w:abstractNumId w:val="27"/>
  </w:num>
  <w:num w:numId="20" w16cid:durableId="649483315">
    <w:abstractNumId w:val="13"/>
  </w:num>
  <w:num w:numId="21" w16cid:durableId="680015132">
    <w:abstractNumId w:val="6"/>
  </w:num>
  <w:num w:numId="22" w16cid:durableId="2125031478">
    <w:abstractNumId w:val="39"/>
  </w:num>
  <w:num w:numId="23" w16cid:durableId="1719931673">
    <w:abstractNumId w:val="28"/>
  </w:num>
  <w:num w:numId="24" w16cid:durableId="1993177623">
    <w:abstractNumId w:val="15"/>
  </w:num>
  <w:num w:numId="25" w16cid:durableId="646590268">
    <w:abstractNumId w:val="31"/>
  </w:num>
  <w:num w:numId="26" w16cid:durableId="1545214853">
    <w:abstractNumId w:val="10"/>
  </w:num>
  <w:num w:numId="27" w16cid:durableId="1968121391">
    <w:abstractNumId w:val="11"/>
  </w:num>
  <w:num w:numId="28" w16cid:durableId="1014267691">
    <w:abstractNumId w:val="3"/>
  </w:num>
  <w:num w:numId="29" w16cid:durableId="70664767">
    <w:abstractNumId w:val="19"/>
  </w:num>
  <w:num w:numId="30" w16cid:durableId="891037571">
    <w:abstractNumId w:val="25"/>
  </w:num>
  <w:num w:numId="31" w16cid:durableId="53507813">
    <w:abstractNumId w:val="35"/>
  </w:num>
  <w:num w:numId="32" w16cid:durableId="80764475">
    <w:abstractNumId w:val="22"/>
  </w:num>
  <w:num w:numId="33" w16cid:durableId="1074553016">
    <w:abstractNumId w:val="2"/>
  </w:num>
  <w:num w:numId="34" w16cid:durableId="1111123940">
    <w:abstractNumId w:val="24"/>
  </w:num>
  <w:num w:numId="35" w16cid:durableId="1978216088">
    <w:abstractNumId w:val="29"/>
  </w:num>
  <w:num w:numId="36" w16cid:durableId="1199707114">
    <w:abstractNumId w:val="31"/>
  </w:num>
  <w:num w:numId="37" w16cid:durableId="1292321978">
    <w:abstractNumId w:val="34"/>
  </w:num>
  <w:num w:numId="38" w16cid:durableId="998340581">
    <w:abstractNumId w:val="21"/>
  </w:num>
  <w:num w:numId="39" w16cid:durableId="404036229">
    <w:abstractNumId w:val="29"/>
  </w:num>
  <w:num w:numId="40" w16cid:durableId="541210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8198589">
    <w:abstractNumId w:val="4"/>
  </w:num>
  <w:num w:numId="42" w16cid:durableId="881404529">
    <w:abstractNumId w:val="38"/>
  </w:num>
  <w:num w:numId="43" w16cid:durableId="318122115">
    <w:abstractNumId w:val="16"/>
  </w:num>
  <w:num w:numId="44" w16cid:durableId="915434218">
    <w:abstractNumId w:val="36"/>
  </w:num>
  <w:num w:numId="45" w16cid:durableId="51990132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2ED1"/>
    <w:rsid w:val="00013EE3"/>
    <w:rsid w:val="00015AEF"/>
    <w:rsid w:val="0001627B"/>
    <w:rsid w:val="00020ECC"/>
    <w:rsid w:val="00022428"/>
    <w:rsid w:val="00023951"/>
    <w:rsid w:val="000250BD"/>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271D"/>
    <w:rsid w:val="00067072"/>
    <w:rsid w:val="00067EDC"/>
    <w:rsid w:val="00072A28"/>
    <w:rsid w:val="0007444A"/>
    <w:rsid w:val="00074AE5"/>
    <w:rsid w:val="000762BC"/>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4E1F"/>
    <w:rsid w:val="00116291"/>
    <w:rsid w:val="00116C47"/>
    <w:rsid w:val="00117B27"/>
    <w:rsid w:val="0012402A"/>
    <w:rsid w:val="00127461"/>
    <w:rsid w:val="00131DEF"/>
    <w:rsid w:val="001336ED"/>
    <w:rsid w:val="00134BB9"/>
    <w:rsid w:val="001350F8"/>
    <w:rsid w:val="00137746"/>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A7F71"/>
    <w:rsid w:val="001B078C"/>
    <w:rsid w:val="001B5EA2"/>
    <w:rsid w:val="001C001D"/>
    <w:rsid w:val="001C33DC"/>
    <w:rsid w:val="001C3E9C"/>
    <w:rsid w:val="001D2194"/>
    <w:rsid w:val="001D3EF3"/>
    <w:rsid w:val="001D6EAE"/>
    <w:rsid w:val="001D70C6"/>
    <w:rsid w:val="001D7495"/>
    <w:rsid w:val="001E19CC"/>
    <w:rsid w:val="001E3CAB"/>
    <w:rsid w:val="001E41E2"/>
    <w:rsid w:val="001F67A4"/>
    <w:rsid w:val="0020049B"/>
    <w:rsid w:val="002030F0"/>
    <w:rsid w:val="00206C19"/>
    <w:rsid w:val="00211B93"/>
    <w:rsid w:val="00215C3B"/>
    <w:rsid w:val="00222D65"/>
    <w:rsid w:val="002265F5"/>
    <w:rsid w:val="00230955"/>
    <w:rsid w:val="0023700B"/>
    <w:rsid w:val="0024385C"/>
    <w:rsid w:val="00245F2E"/>
    <w:rsid w:val="0024663E"/>
    <w:rsid w:val="00255608"/>
    <w:rsid w:val="002561F1"/>
    <w:rsid w:val="002573AC"/>
    <w:rsid w:val="00260A46"/>
    <w:rsid w:val="002623FC"/>
    <w:rsid w:val="00264708"/>
    <w:rsid w:val="00270C80"/>
    <w:rsid w:val="002735B5"/>
    <w:rsid w:val="002739E4"/>
    <w:rsid w:val="00274E35"/>
    <w:rsid w:val="00275A26"/>
    <w:rsid w:val="00275B4A"/>
    <w:rsid w:val="00275E3A"/>
    <w:rsid w:val="0027795B"/>
    <w:rsid w:val="002838AF"/>
    <w:rsid w:val="002858E0"/>
    <w:rsid w:val="00286901"/>
    <w:rsid w:val="00293B58"/>
    <w:rsid w:val="002A25AE"/>
    <w:rsid w:val="002A6091"/>
    <w:rsid w:val="002B0963"/>
    <w:rsid w:val="002C1A9E"/>
    <w:rsid w:val="002D1B79"/>
    <w:rsid w:val="002E7E29"/>
    <w:rsid w:val="002F19CD"/>
    <w:rsid w:val="002F21B8"/>
    <w:rsid w:val="002F3415"/>
    <w:rsid w:val="002F492C"/>
    <w:rsid w:val="002F6E7A"/>
    <w:rsid w:val="002F776B"/>
    <w:rsid w:val="00301610"/>
    <w:rsid w:val="0030161D"/>
    <w:rsid w:val="00301EA0"/>
    <w:rsid w:val="0030719D"/>
    <w:rsid w:val="00310492"/>
    <w:rsid w:val="00310DD2"/>
    <w:rsid w:val="00312AE8"/>
    <w:rsid w:val="0031567B"/>
    <w:rsid w:val="00317618"/>
    <w:rsid w:val="0032186B"/>
    <w:rsid w:val="003221E9"/>
    <w:rsid w:val="003236FB"/>
    <w:rsid w:val="0032496F"/>
    <w:rsid w:val="00330EB2"/>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7593B"/>
    <w:rsid w:val="00380636"/>
    <w:rsid w:val="0038177C"/>
    <w:rsid w:val="003976D8"/>
    <w:rsid w:val="003A1558"/>
    <w:rsid w:val="003A4354"/>
    <w:rsid w:val="003A76F9"/>
    <w:rsid w:val="003B4C7F"/>
    <w:rsid w:val="003B5DF4"/>
    <w:rsid w:val="003B7B1E"/>
    <w:rsid w:val="003C43E9"/>
    <w:rsid w:val="003C4416"/>
    <w:rsid w:val="003C5266"/>
    <w:rsid w:val="003C64DC"/>
    <w:rsid w:val="003C6679"/>
    <w:rsid w:val="003D39E5"/>
    <w:rsid w:val="003D5A89"/>
    <w:rsid w:val="003D7F09"/>
    <w:rsid w:val="003D7F4C"/>
    <w:rsid w:val="003E1514"/>
    <w:rsid w:val="003E2298"/>
    <w:rsid w:val="003E6183"/>
    <w:rsid w:val="003E6629"/>
    <w:rsid w:val="003E7E71"/>
    <w:rsid w:val="003F4B56"/>
    <w:rsid w:val="00401743"/>
    <w:rsid w:val="004041FA"/>
    <w:rsid w:val="00407667"/>
    <w:rsid w:val="0041040B"/>
    <w:rsid w:val="00416238"/>
    <w:rsid w:val="00417DAF"/>
    <w:rsid w:val="00421929"/>
    <w:rsid w:val="004259D0"/>
    <w:rsid w:val="00431EEF"/>
    <w:rsid w:val="00433884"/>
    <w:rsid w:val="00437FEA"/>
    <w:rsid w:val="004465BE"/>
    <w:rsid w:val="0045433C"/>
    <w:rsid w:val="0046018A"/>
    <w:rsid w:val="00462522"/>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2BF"/>
    <w:rsid w:val="004D4F0D"/>
    <w:rsid w:val="004F0799"/>
    <w:rsid w:val="004F33C8"/>
    <w:rsid w:val="004F4FE9"/>
    <w:rsid w:val="004F5148"/>
    <w:rsid w:val="004F5B81"/>
    <w:rsid w:val="004F7C09"/>
    <w:rsid w:val="004F7CD0"/>
    <w:rsid w:val="0050066C"/>
    <w:rsid w:val="00502C6C"/>
    <w:rsid w:val="0050333E"/>
    <w:rsid w:val="005046D3"/>
    <w:rsid w:val="00525684"/>
    <w:rsid w:val="00526B21"/>
    <w:rsid w:val="0052756B"/>
    <w:rsid w:val="00532072"/>
    <w:rsid w:val="00536499"/>
    <w:rsid w:val="005367A3"/>
    <w:rsid w:val="005419E9"/>
    <w:rsid w:val="005439A2"/>
    <w:rsid w:val="00543B1E"/>
    <w:rsid w:val="005447FF"/>
    <w:rsid w:val="00544D6C"/>
    <w:rsid w:val="0055051F"/>
    <w:rsid w:val="00551718"/>
    <w:rsid w:val="00551E5B"/>
    <w:rsid w:val="005521DD"/>
    <w:rsid w:val="00552801"/>
    <w:rsid w:val="00552C58"/>
    <w:rsid w:val="00553FE2"/>
    <w:rsid w:val="00562A4F"/>
    <w:rsid w:val="00563910"/>
    <w:rsid w:val="00564DEE"/>
    <w:rsid w:val="00565880"/>
    <w:rsid w:val="00572638"/>
    <w:rsid w:val="00576DAA"/>
    <w:rsid w:val="00584BEF"/>
    <w:rsid w:val="005922C1"/>
    <w:rsid w:val="005946A3"/>
    <w:rsid w:val="005A078F"/>
    <w:rsid w:val="005A4810"/>
    <w:rsid w:val="005A4D9B"/>
    <w:rsid w:val="005B2DFF"/>
    <w:rsid w:val="005B6063"/>
    <w:rsid w:val="005C1A28"/>
    <w:rsid w:val="005C4766"/>
    <w:rsid w:val="005C7ACE"/>
    <w:rsid w:val="005D0CF7"/>
    <w:rsid w:val="005D5BFA"/>
    <w:rsid w:val="005D627A"/>
    <w:rsid w:val="005D66DC"/>
    <w:rsid w:val="005E0B1C"/>
    <w:rsid w:val="005E1278"/>
    <w:rsid w:val="005E3A74"/>
    <w:rsid w:val="005E49F7"/>
    <w:rsid w:val="005E4B4D"/>
    <w:rsid w:val="005E6407"/>
    <w:rsid w:val="005E6D06"/>
    <w:rsid w:val="005E7FC8"/>
    <w:rsid w:val="005F1BB2"/>
    <w:rsid w:val="005F2418"/>
    <w:rsid w:val="005F4144"/>
    <w:rsid w:val="005F4857"/>
    <w:rsid w:val="005F4D92"/>
    <w:rsid w:val="005F7FB4"/>
    <w:rsid w:val="00602502"/>
    <w:rsid w:val="00603468"/>
    <w:rsid w:val="00607561"/>
    <w:rsid w:val="00611E39"/>
    <w:rsid w:val="006124CE"/>
    <w:rsid w:val="00613778"/>
    <w:rsid w:val="00615430"/>
    <w:rsid w:val="0061798A"/>
    <w:rsid w:val="00617AF1"/>
    <w:rsid w:val="006208B0"/>
    <w:rsid w:val="006220A7"/>
    <w:rsid w:val="006262B4"/>
    <w:rsid w:val="0062645F"/>
    <w:rsid w:val="00637CFE"/>
    <w:rsid w:val="006420A6"/>
    <w:rsid w:val="006459AF"/>
    <w:rsid w:val="00650F5B"/>
    <w:rsid w:val="00652888"/>
    <w:rsid w:val="00662E2F"/>
    <w:rsid w:val="00674B99"/>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E5DBA"/>
    <w:rsid w:val="006E712A"/>
    <w:rsid w:val="006F6B63"/>
    <w:rsid w:val="00701306"/>
    <w:rsid w:val="00703A8C"/>
    <w:rsid w:val="00706AE2"/>
    <w:rsid w:val="0070719D"/>
    <w:rsid w:val="00711D03"/>
    <w:rsid w:val="0071357D"/>
    <w:rsid w:val="00714AC2"/>
    <w:rsid w:val="00715DB4"/>
    <w:rsid w:val="007174F3"/>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3ED8"/>
    <w:rsid w:val="00784ECB"/>
    <w:rsid w:val="00792DF5"/>
    <w:rsid w:val="00793502"/>
    <w:rsid w:val="00795A0B"/>
    <w:rsid w:val="007A67CA"/>
    <w:rsid w:val="007A683A"/>
    <w:rsid w:val="007A7EEA"/>
    <w:rsid w:val="007B6279"/>
    <w:rsid w:val="007C1552"/>
    <w:rsid w:val="007C3BB9"/>
    <w:rsid w:val="007C5211"/>
    <w:rsid w:val="007C63A4"/>
    <w:rsid w:val="007D321C"/>
    <w:rsid w:val="007D766E"/>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14AE"/>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967DB"/>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05CFF"/>
    <w:rsid w:val="00911C2F"/>
    <w:rsid w:val="00915C77"/>
    <w:rsid w:val="00916432"/>
    <w:rsid w:val="0091656B"/>
    <w:rsid w:val="0091677E"/>
    <w:rsid w:val="0092025C"/>
    <w:rsid w:val="00922F14"/>
    <w:rsid w:val="00923E15"/>
    <w:rsid w:val="0092636E"/>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2651"/>
    <w:rsid w:val="009644DB"/>
    <w:rsid w:val="009672B1"/>
    <w:rsid w:val="009712A4"/>
    <w:rsid w:val="00971C78"/>
    <w:rsid w:val="009738F8"/>
    <w:rsid w:val="00974680"/>
    <w:rsid w:val="00976C6B"/>
    <w:rsid w:val="00977164"/>
    <w:rsid w:val="00990C1A"/>
    <w:rsid w:val="009931C5"/>
    <w:rsid w:val="00997115"/>
    <w:rsid w:val="009B6EF3"/>
    <w:rsid w:val="009B717E"/>
    <w:rsid w:val="009B7362"/>
    <w:rsid w:val="009C1737"/>
    <w:rsid w:val="009C1B02"/>
    <w:rsid w:val="009C716A"/>
    <w:rsid w:val="009C7344"/>
    <w:rsid w:val="009C78F2"/>
    <w:rsid w:val="009D22E9"/>
    <w:rsid w:val="009D2532"/>
    <w:rsid w:val="009D3A23"/>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57E51"/>
    <w:rsid w:val="00A60F17"/>
    <w:rsid w:val="00A637D3"/>
    <w:rsid w:val="00A66E28"/>
    <w:rsid w:val="00A72BB0"/>
    <w:rsid w:val="00A734FD"/>
    <w:rsid w:val="00A7546C"/>
    <w:rsid w:val="00A772C7"/>
    <w:rsid w:val="00A77EB7"/>
    <w:rsid w:val="00A838D9"/>
    <w:rsid w:val="00A865E4"/>
    <w:rsid w:val="00A91588"/>
    <w:rsid w:val="00A931E6"/>
    <w:rsid w:val="00A95117"/>
    <w:rsid w:val="00AA1448"/>
    <w:rsid w:val="00AA3E36"/>
    <w:rsid w:val="00AA6E49"/>
    <w:rsid w:val="00AA71E5"/>
    <w:rsid w:val="00AB1AB3"/>
    <w:rsid w:val="00AC12CD"/>
    <w:rsid w:val="00AD242D"/>
    <w:rsid w:val="00AD4A2B"/>
    <w:rsid w:val="00AD5691"/>
    <w:rsid w:val="00AD7CCB"/>
    <w:rsid w:val="00AF1E10"/>
    <w:rsid w:val="00AF359A"/>
    <w:rsid w:val="00AF520E"/>
    <w:rsid w:val="00AF5483"/>
    <w:rsid w:val="00AF68E3"/>
    <w:rsid w:val="00B030C2"/>
    <w:rsid w:val="00B0548C"/>
    <w:rsid w:val="00B05DE9"/>
    <w:rsid w:val="00B05FCF"/>
    <w:rsid w:val="00B06680"/>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7013B"/>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57A2"/>
    <w:rsid w:val="00BD693E"/>
    <w:rsid w:val="00BD756C"/>
    <w:rsid w:val="00BE05CE"/>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33C74"/>
    <w:rsid w:val="00C40471"/>
    <w:rsid w:val="00C4273E"/>
    <w:rsid w:val="00C4567D"/>
    <w:rsid w:val="00C46C71"/>
    <w:rsid w:val="00C50C46"/>
    <w:rsid w:val="00C533FE"/>
    <w:rsid w:val="00C56296"/>
    <w:rsid w:val="00C6280A"/>
    <w:rsid w:val="00C641B1"/>
    <w:rsid w:val="00C65395"/>
    <w:rsid w:val="00C7299E"/>
    <w:rsid w:val="00C73FF7"/>
    <w:rsid w:val="00C74342"/>
    <w:rsid w:val="00C74530"/>
    <w:rsid w:val="00C76574"/>
    <w:rsid w:val="00C8425B"/>
    <w:rsid w:val="00C867C0"/>
    <w:rsid w:val="00C97666"/>
    <w:rsid w:val="00CA6892"/>
    <w:rsid w:val="00CA74C0"/>
    <w:rsid w:val="00CB0391"/>
    <w:rsid w:val="00CC2883"/>
    <w:rsid w:val="00CC2F95"/>
    <w:rsid w:val="00CC347C"/>
    <w:rsid w:val="00CC348F"/>
    <w:rsid w:val="00CC5381"/>
    <w:rsid w:val="00CC5ACB"/>
    <w:rsid w:val="00CD149E"/>
    <w:rsid w:val="00CD5BD8"/>
    <w:rsid w:val="00CD78EB"/>
    <w:rsid w:val="00CE15B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634BA"/>
    <w:rsid w:val="00D76271"/>
    <w:rsid w:val="00D77CE6"/>
    <w:rsid w:val="00D85B36"/>
    <w:rsid w:val="00D93E26"/>
    <w:rsid w:val="00D94635"/>
    <w:rsid w:val="00D9532E"/>
    <w:rsid w:val="00DA43F8"/>
    <w:rsid w:val="00DA451E"/>
    <w:rsid w:val="00DB44E6"/>
    <w:rsid w:val="00DC0C74"/>
    <w:rsid w:val="00DC7610"/>
    <w:rsid w:val="00DC7A46"/>
    <w:rsid w:val="00DD275B"/>
    <w:rsid w:val="00DD6389"/>
    <w:rsid w:val="00DD722E"/>
    <w:rsid w:val="00DE3432"/>
    <w:rsid w:val="00DE53C4"/>
    <w:rsid w:val="00DE5E21"/>
    <w:rsid w:val="00DF1DA3"/>
    <w:rsid w:val="00DF5366"/>
    <w:rsid w:val="00DF74EA"/>
    <w:rsid w:val="00DF7564"/>
    <w:rsid w:val="00E0006A"/>
    <w:rsid w:val="00E00F16"/>
    <w:rsid w:val="00E01B82"/>
    <w:rsid w:val="00E021C6"/>
    <w:rsid w:val="00E070A6"/>
    <w:rsid w:val="00E112C0"/>
    <w:rsid w:val="00E12200"/>
    <w:rsid w:val="00E33DA4"/>
    <w:rsid w:val="00E42EAE"/>
    <w:rsid w:val="00E47C52"/>
    <w:rsid w:val="00E53718"/>
    <w:rsid w:val="00E55E43"/>
    <w:rsid w:val="00E608DE"/>
    <w:rsid w:val="00E630BF"/>
    <w:rsid w:val="00E64B33"/>
    <w:rsid w:val="00E66A53"/>
    <w:rsid w:val="00E67B50"/>
    <w:rsid w:val="00E72FDB"/>
    <w:rsid w:val="00E7521C"/>
    <w:rsid w:val="00E8035F"/>
    <w:rsid w:val="00E82503"/>
    <w:rsid w:val="00E83BAE"/>
    <w:rsid w:val="00E908E7"/>
    <w:rsid w:val="00E94320"/>
    <w:rsid w:val="00E97D80"/>
    <w:rsid w:val="00EA1395"/>
    <w:rsid w:val="00EA1AB8"/>
    <w:rsid w:val="00EA1E2B"/>
    <w:rsid w:val="00EB1717"/>
    <w:rsid w:val="00EB4CF2"/>
    <w:rsid w:val="00EB5DCE"/>
    <w:rsid w:val="00EC09B6"/>
    <w:rsid w:val="00EC27B9"/>
    <w:rsid w:val="00EC2A26"/>
    <w:rsid w:val="00EC4B83"/>
    <w:rsid w:val="00EC54DE"/>
    <w:rsid w:val="00ED0EB3"/>
    <w:rsid w:val="00ED0F5F"/>
    <w:rsid w:val="00ED33EF"/>
    <w:rsid w:val="00ED3E33"/>
    <w:rsid w:val="00ED4C13"/>
    <w:rsid w:val="00ED556A"/>
    <w:rsid w:val="00ED5F93"/>
    <w:rsid w:val="00ED6117"/>
    <w:rsid w:val="00ED671B"/>
    <w:rsid w:val="00EE0932"/>
    <w:rsid w:val="00EF4AC9"/>
    <w:rsid w:val="00F0053C"/>
    <w:rsid w:val="00F032CF"/>
    <w:rsid w:val="00F21542"/>
    <w:rsid w:val="00F215E6"/>
    <w:rsid w:val="00F232A4"/>
    <w:rsid w:val="00F23939"/>
    <w:rsid w:val="00F247BB"/>
    <w:rsid w:val="00F3009F"/>
    <w:rsid w:val="00F31B51"/>
    <w:rsid w:val="00F3768D"/>
    <w:rsid w:val="00F4075A"/>
    <w:rsid w:val="00F42DE2"/>
    <w:rsid w:val="00F436CD"/>
    <w:rsid w:val="00F56D25"/>
    <w:rsid w:val="00F61143"/>
    <w:rsid w:val="00F65BC0"/>
    <w:rsid w:val="00F716EA"/>
    <w:rsid w:val="00F75D0C"/>
    <w:rsid w:val="00F76A40"/>
    <w:rsid w:val="00F77B2E"/>
    <w:rsid w:val="00F80759"/>
    <w:rsid w:val="00F808C0"/>
    <w:rsid w:val="00F90E98"/>
    <w:rsid w:val="00F91CD3"/>
    <w:rsid w:val="00F93165"/>
    <w:rsid w:val="00F937A8"/>
    <w:rsid w:val="00FA003E"/>
    <w:rsid w:val="00FA136B"/>
    <w:rsid w:val="00FA2240"/>
    <w:rsid w:val="00FA36FD"/>
    <w:rsid w:val="00FB09B6"/>
    <w:rsid w:val="00FB2780"/>
    <w:rsid w:val="00FB75F3"/>
    <w:rsid w:val="00FC037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518668D"/>
    <w:rsid w:val="06F84034"/>
    <w:rsid w:val="076E0748"/>
    <w:rsid w:val="0D9F4D0D"/>
    <w:rsid w:val="11CCAF98"/>
    <w:rsid w:val="12B1F74B"/>
    <w:rsid w:val="1F9867D9"/>
    <w:rsid w:val="22F6DA9A"/>
    <w:rsid w:val="2552CDCA"/>
    <w:rsid w:val="269F5F47"/>
    <w:rsid w:val="26DA566D"/>
    <w:rsid w:val="2B71ED17"/>
    <w:rsid w:val="2B72D06A"/>
    <w:rsid w:val="369DC32E"/>
    <w:rsid w:val="3D2CB21B"/>
    <w:rsid w:val="3D67A941"/>
    <w:rsid w:val="46D096A6"/>
    <w:rsid w:val="4C78CF41"/>
    <w:rsid w:val="4D64A4AE"/>
    <w:rsid w:val="4E78376B"/>
    <w:rsid w:val="507194C9"/>
    <w:rsid w:val="50E78DD1"/>
    <w:rsid w:val="5577A419"/>
    <w:rsid w:val="5C55D9CA"/>
    <w:rsid w:val="5EE58A2E"/>
    <w:rsid w:val="5F1E865F"/>
    <w:rsid w:val="62ECF9B8"/>
    <w:rsid w:val="62EDDD0B"/>
    <w:rsid w:val="64916821"/>
    <w:rsid w:val="687903D7"/>
    <w:rsid w:val="6FCAB2CB"/>
    <w:rsid w:val="7110E916"/>
    <w:rsid w:val="753E5E82"/>
    <w:rsid w:val="768484AE"/>
    <w:rsid w:val="77530B1F"/>
    <w:rsid w:val="78012E47"/>
    <w:rsid w:val="7B38CF09"/>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4"/>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4"/>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4"/>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4"/>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4"/>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4"/>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4"/>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4"/>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4"/>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0"/>
      </w:numPr>
      <w:spacing w:before="120" w:after="120" w:line="360" w:lineRule="atLeast"/>
      <w:ind w:left="720" w:hanging="360"/>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5"/>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5E4B4D"/>
    <w:pPr>
      <w:tabs>
        <w:tab w:val="left" w:pos="2459"/>
        <w:tab w:val="right" w:pos="9016"/>
      </w:tabs>
      <w:ind w:left="600" w:firstLine="1668"/>
    </w:pPr>
    <w:rPr>
      <w:rFonts w:asciiTheme="minorHAnsi" w:hAnsiTheme="minorHAnsi"/>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6"/>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7"/>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7"/>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9"/>
      </w:numPr>
    </w:pPr>
  </w:style>
  <w:style w:type="paragraph" w:styleId="Lijstopsomteken">
    <w:name w:val="List Bullet"/>
    <w:basedOn w:val="Standaard"/>
    <w:uiPriority w:val="99"/>
    <w:semiHidden/>
    <w:unhideWhenUsed/>
    <w:rsid w:val="00861418"/>
    <w:pPr>
      <w:numPr>
        <w:numId w:val="8"/>
      </w:numPr>
      <w:contextualSpacing/>
    </w:pPr>
  </w:style>
  <w:style w:type="paragraph" w:customStyle="1" w:styleId="Otherside-Listalphabet">
    <w:name w:val="Otherside - List alphabet"/>
    <w:basedOn w:val="Lijstalinea"/>
    <w:link w:val="Otherside-ListalphabetChar"/>
    <w:qFormat/>
    <w:rsid w:val="0030161D"/>
    <w:pPr>
      <w:numPr>
        <w:numId w:val="11"/>
      </w:numPr>
    </w:pPr>
  </w:style>
  <w:style w:type="paragraph" w:styleId="Lijstnummering">
    <w:name w:val="List Number"/>
    <w:basedOn w:val="Standaard"/>
    <w:uiPriority w:val="99"/>
    <w:semiHidden/>
    <w:unhideWhenUsed/>
    <w:rsid w:val="0069713A"/>
    <w:pPr>
      <w:numPr>
        <w:numId w:val="10"/>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953201091">
      <w:bodyDiv w:val="1"/>
      <w:marLeft w:val="0"/>
      <w:marRight w:val="0"/>
      <w:marTop w:val="0"/>
      <w:marBottom w:val="0"/>
      <w:divBdr>
        <w:top w:val="none" w:sz="0" w:space="0" w:color="auto"/>
        <w:left w:val="none" w:sz="0" w:space="0" w:color="auto"/>
        <w:bottom w:val="none" w:sz="0" w:space="0" w:color="auto"/>
        <w:right w:val="none" w:sz="0" w:space="0" w:color="auto"/>
      </w:divBdr>
      <w:divsChild>
        <w:div w:id="432945538">
          <w:marLeft w:val="0"/>
          <w:marRight w:val="0"/>
          <w:marTop w:val="0"/>
          <w:marBottom w:val="0"/>
          <w:divBdr>
            <w:top w:val="none" w:sz="0" w:space="0" w:color="auto"/>
            <w:left w:val="none" w:sz="0" w:space="0" w:color="auto"/>
            <w:bottom w:val="none" w:sz="0" w:space="0" w:color="auto"/>
            <w:right w:val="none" w:sz="0" w:space="0" w:color="auto"/>
          </w:divBdr>
        </w:div>
        <w:div w:id="990793079">
          <w:marLeft w:val="0"/>
          <w:marRight w:val="0"/>
          <w:marTop w:val="0"/>
          <w:marBottom w:val="0"/>
          <w:divBdr>
            <w:top w:val="none" w:sz="0" w:space="0" w:color="auto"/>
            <w:left w:val="none" w:sz="0" w:space="0" w:color="auto"/>
            <w:bottom w:val="none" w:sz="0" w:space="0" w:color="auto"/>
            <w:right w:val="none" w:sz="0" w:space="0" w:color="auto"/>
          </w:divBdr>
        </w:div>
      </w:divsChild>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FuturaBT Light&quot;,sans-serif">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E2CC5"/>
    <w:rsid w:val="00433788"/>
    <w:rsid w:val="004D6F3B"/>
    <w:rsid w:val="00552F31"/>
    <w:rsid w:val="005764DA"/>
    <w:rsid w:val="00667010"/>
    <w:rsid w:val="00683E49"/>
    <w:rsid w:val="00715658"/>
    <w:rsid w:val="007855B4"/>
    <w:rsid w:val="007A07EF"/>
    <w:rsid w:val="00A437ED"/>
    <w:rsid w:val="00B12222"/>
    <w:rsid w:val="00BE72CE"/>
    <w:rsid w:val="00C56449"/>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3" ma:contentTypeDescription="Een nieuw document maken." ma:contentTypeScope="" ma:versionID="165c2983fd31ae1b57e388527aa6219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06696f9181813d80ab3cda1aea0d2d20"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E3199095-0BF0-4F00-B0C5-DEA5643DD40F}"/>
</file>

<file path=docProps/app.xml><?xml version="1.0" encoding="utf-8"?>
<Properties xmlns="http://schemas.openxmlformats.org/officeDocument/2006/extended-properties" xmlns:vt="http://schemas.openxmlformats.org/officeDocument/2006/docPropsVTypes">
  <Template>Normal.dotm</Template>
  <TotalTime>49</TotalTime>
  <Pages>9</Pages>
  <Words>1629</Words>
  <Characters>8965</Characters>
  <Application>Microsoft Office Word</Application>
  <DocSecurity>0</DocSecurity>
  <Lines>74</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60</cp:revision>
  <cp:lastPrinted>2022-11-17T14:30:00Z</cp:lastPrinted>
  <dcterms:created xsi:type="dcterms:W3CDTF">2020-07-31T09:10:00Z</dcterms:created>
  <dcterms:modified xsi:type="dcterms:W3CDTF">2022-11-17T14:30:00Z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